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E8" w:rsidRDefault="009858E8">
      <w:pPr>
        <w:pStyle w:val="BodyText"/>
        <w:rPr>
          <w:sz w:val="20"/>
        </w:rPr>
      </w:pPr>
      <w:bookmarkStart w:id="0" w:name="_top"/>
      <w:bookmarkEnd w:id="0"/>
    </w:p>
    <w:p w:rsidR="009858E8" w:rsidRDefault="009858E8">
      <w:pPr>
        <w:pStyle w:val="BodyText"/>
        <w:rPr>
          <w:sz w:val="20"/>
        </w:rPr>
      </w:pPr>
    </w:p>
    <w:p w:rsidR="009858E8" w:rsidRDefault="009858E8">
      <w:pPr>
        <w:pStyle w:val="BodyText"/>
        <w:rPr>
          <w:sz w:val="20"/>
        </w:rPr>
      </w:pPr>
    </w:p>
    <w:p w:rsidR="009858E8" w:rsidRDefault="009858E8">
      <w:pPr>
        <w:pStyle w:val="BodyText"/>
        <w:rPr>
          <w:sz w:val="20"/>
        </w:rPr>
      </w:pPr>
    </w:p>
    <w:p w:rsidR="009858E8" w:rsidRDefault="009858E8">
      <w:pPr>
        <w:pStyle w:val="BodyText"/>
        <w:rPr>
          <w:sz w:val="20"/>
        </w:rPr>
      </w:pPr>
    </w:p>
    <w:p w:rsidR="009858E8" w:rsidRDefault="009858E8">
      <w:pPr>
        <w:pStyle w:val="BodyText"/>
        <w:rPr>
          <w:sz w:val="20"/>
        </w:rPr>
      </w:pPr>
    </w:p>
    <w:p w:rsidR="009858E8" w:rsidRDefault="009858E8">
      <w:pPr>
        <w:pStyle w:val="BodyText"/>
        <w:rPr>
          <w:sz w:val="20"/>
        </w:rPr>
      </w:pPr>
    </w:p>
    <w:p w:rsidR="009858E8" w:rsidRDefault="009858E8">
      <w:pPr>
        <w:pStyle w:val="BodyText"/>
        <w:spacing w:before="36"/>
        <w:rPr>
          <w:sz w:val="20"/>
        </w:rPr>
      </w:pPr>
    </w:p>
    <w:p w:rsidR="009858E8" w:rsidRDefault="005476BE">
      <w:pPr>
        <w:pStyle w:val="BodyText"/>
        <w:ind w:left="3002"/>
        <w:rPr>
          <w:sz w:val="20"/>
        </w:rPr>
      </w:pPr>
      <w:r>
        <w:rPr>
          <w:noProof/>
          <w:sz w:val="20"/>
        </w:rPr>
        <w:drawing>
          <wp:inline distT="0" distB="0" distL="0" distR="0">
            <wp:extent cx="2661285" cy="11787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661285" cy="1178718"/>
                    </a:xfrm>
                    <a:prstGeom prst="rect">
                      <a:avLst/>
                    </a:prstGeom>
                  </pic:spPr>
                </pic:pic>
              </a:graphicData>
            </a:graphic>
          </wp:inline>
        </w:drawing>
      </w:r>
    </w:p>
    <w:p w:rsidR="009858E8" w:rsidRDefault="009858E8">
      <w:pPr>
        <w:pStyle w:val="BodyText"/>
        <w:rPr>
          <w:sz w:val="48"/>
        </w:rPr>
      </w:pPr>
    </w:p>
    <w:p w:rsidR="009858E8" w:rsidRDefault="009858E8">
      <w:pPr>
        <w:pStyle w:val="BodyText"/>
        <w:rPr>
          <w:sz w:val="48"/>
        </w:rPr>
      </w:pPr>
    </w:p>
    <w:p w:rsidR="009858E8" w:rsidRDefault="009858E8">
      <w:pPr>
        <w:pStyle w:val="BodyText"/>
        <w:rPr>
          <w:sz w:val="48"/>
        </w:rPr>
      </w:pPr>
    </w:p>
    <w:p w:rsidR="009858E8" w:rsidRPr="00CE5EB6" w:rsidRDefault="009858E8">
      <w:pPr>
        <w:pStyle w:val="BodyText"/>
        <w:spacing w:before="35"/>
        <w:rPr>
          <w:color w:val="002060"/>
          <w:sz w:val="52"/>
        </w:rPr>
      </w:pPr>
    </w:p>
    <w:p w:rsidR="00CE5EB6" w:rsidRPr="00CE5EB6" w:rsidRDefault="00CE5EB6" w:rsidP="00CE5EB6">
      <w:pPr>
        <w:jc w:val="center"/>
        <w:rPr>
          <w:rStyle w:val="Strong"/>
          <w:color w:val="002060"/>
          <w:sz w:val="32"/>
          <w:szCs w:val="28"/>
        </w:rPr>
      </w:pPr>
      <w:r w:rsidRPr="00CE5EB6">
        <w:rPr>
          <w:rStyle w:val="Strong"/>
          <w:color w:val="002060"/>
          <w:sz w:val="32"/>
          <w:szCs w:val="28"/>
        </w:rPr>
        <w:t>Student Innovation &amp; Leadership Circle (SILC)</w:t>
      </w:r>
    </w:p>
    <w:p w:rsidR="00CE5EB6" w:rsidRPr="00CE5EB6" w:rsidRDefault="00CE5EB6" w:rsidP="00CE5EB6">
      <w:pPr>
        <w:jc w:val="center"/>
        <w:rPr>
          <w:color w:val="002060"/>
          <w:sz w:val="32"/>
          <w:szCs w:val="28"/>
        </w:rPr>
      </w:pPr>
    </w:p>
    <w:p w:rsidR="00CE5EB6" w:rsidRPr="00CE5EB6" w:rsidRDefault="00CE5EB6" w:rsidP="00CE5EB6">
      <w:pPr>
        <w:jc w:val="center"/>
        <w:rPr>
          <w:rStyle w:val="Strong"/>
          <w:color w:val="002060"/>
          <w:sz w:val="32"/>
          <w:szCs w:val="28"/>
        </w:rPr>
      </w:pPr>
      <w:r w:rsidRPr="00CE5EB6">
        <w:rPr>
          <w:rStyle w:val="Strong"/>
          <w:color w:val="002060"/>
          <w:sz w:val="32"/>
          <w:szCs w:val="28"/>
        </w:rPr>
        <w:t>Azerbaijan Technical University (AzTU)</w:t>
      </w:r>
    </w:p>
    <w:p w:rsidR="009858E8" w:rsidRDefault="009858E8">
      <w:pPr>
        <w:pStyle w:val="BodyText"/>
        <w:rPr>
          <w:b/>
          <w:sz w:val="20"/>
        </w:rPr>
      </w:pPr>
    </w:p>
    <w:p w:rsidR="009858E8" w:rsidRDefault="009858E8">
      <w:pPr>
        <w:pStyle w:val="BodyText"/>
        <w:spacing w:before="167"/>
        <w:rPr>
          <w:b/>
          <w:sz w:val="20"/>
        </w:rPr>
      </w:pPr>
    </w:p>
    <w:tbl>
      <w:tblPr>
        <w:tblW w:w="9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6"/>
        <w:gridCol w:w="5736"/>
      </w:tblGrid>
      <w:tr w:rsidR="009858E8" w:rsidTr="00CE5EB6">
        <w:trPr>
          <w:trHeight w:val="306"/>
        </w:trPr>
        <w:tc>
          <w:tcPr>
            <w:tcW w:w="3896" w:type="dxa"/>
          </w:tcPr>
          <w:p w:rsidR="009858E8" w:rsidRDefault="005476BE">
            <w:pPr>
              <w:pStyle w:val="TableParagraph"/>
              <w:ind w:left="105"/>
              <w:rPr>
                <w:b/>
              </w:rPr>
            </w:pPr>
            <w:r>
              <w:rPr>
                <w:b/>
              </w:rPr>
              <w:t>Document</w:t>
            </w:r>
            <w:r>
              <w:rPr>
                <w:b/>
                <w:spacing w:val="-7"/>
              </w:rPr>
              <w:t xml:space="preserve"> </w:t>
            </w:r>
            <w:r>
              <w:rPr>
                <w:b/>
                <w:spacing w:val="-4"/>
              </w:rPr>
              <w:t>type</w:t>
            </w:r>
          </w:p>
        </w:tc>
        <w:tc>
          <w:tcPr>
            <w:tcW w:w="5736" w:type="dxa"/>
          </w:tcPr>
          <w:p w:rsidR="009858E8" w:rsidRDefault="005476BE">
            <w:pPr>
              <w:pStyle w:val="TableParagraph"/>
            </w:pPr>
            <w:r>
              <w:rPr>
                <w:spacing w:val="-2"/>
              </w:rPr>
              <w:t>Policy</w:t>
            </w:r>
          </w:p>
        </w:tc>
      </w:tr>
      <w:tr w:rsidR="009858E8" w:rsidTr="00CE5EB6">
        <w:trPr>
          <w:trHeight w:val="306"/>
        </w:trPr>
        <w:tc>
          <w:tcPr>
            <w:tcW w:w="3896" w:type="dxa"/>
          </w:tcPr>
          <w:p w:rsidR="009858E8" w:rsidRDefault="005476BE">
            <w:pPr>
              <w:pStyle w:val="TableParagraph"/>
              <w:ind w:left="105"/>
              <w:rPr>
                <w:b/>
              </w:rPr>
            </w:pPr>
            <w:r>
              <w:rPr>
                <w:b/>
              </w:rPr>
              <w:t>Scope</w:t>
            </w:r>
            <w:r>
              <w:rPr>
                <w:b/>
                <w:spacing w:val="-4"/>
              </w:rPr>
              <w:t xml:space="preserve"> </w:t>
            </w:r>
            <w:r>
              <w:rPr>
                <w:b/>
              </w:rPr>
              <w:t>(applies</w:t>
            </w:r>
            <w:r>
              <w:rPr>
                <w:b/>
                <w:spacing w:val="-1"/>
              </w:rPr>
              <w:t xml:space="preserve"> </w:t>
            </w:r>
            <w:r>
              <w:rPr>
                <w:b/>
                <w:spacing w:val="-5"/>
              </w:rPr>
              <w:t>to)</w:t>
            </w:r>
          </w:p>
        </w:tc>
        <w:tc>
          <w:tcPr>
            <w:tcW w:w="5736" w:type="dxa"/>
          </w:tcPr>
          <w:p w:rsidR="009858E8" w:rsidRDefault="005476BE">
            <w:pPr>
              <w:pStyle w:val="TableParagraph"/>
            </w:pPr>
            <w:r>
              <w:t>All</w:t>
            </w:r>
            <w:r>
              <w:rPr>
                <w:spacing w:val="-1"/>
              </w:rPr>
              <w:t xml:space="preserve"> </w:t>
            </w:r>
            <w:r>
              <w:t>staff</w:t>
            </w:r>
            <w:r>
              <w:rPr>
                <w:spacing w:val="-1"/>
              </w:rPr>
              <w:t xml:space="preserve"> </w:t>
            </w:r>
            <w:r>
              <w:t>and</w:t>
            </w:r>
            <w:r>
              <w:rPr>
                <w:spacing w:val="1"/>
              </w:rPr>
              <w:t xml:space="preserve"> </w:t>
            </w:r>
            <w:r>
              <w:rPr>
                <w:spacing w:val="-2"/>
              </w:rPr>
              <w:t>students</w:t>
            </w:r>
          </w:p>
        </w:tc>
      </w:tr>
      <w:tr w:rsidR="009858E8" w:rsidTr="00CE5EB6">
        <w:trPr>
          <w:trHeight w:val="306"/>
        </w:trPr>
        <w:tc>
          <w:tcPr>
            <w:tcW w:w="3896" w:type="dxa"/>
          </w:tcPr>
          <w:p w:rsidR="009858E8" w:rsidRDefault="005476BE">
            <w:pPr>
              <w:pStyle w:val="TableParagraph"/>
              <w:ind w:left="105"/>
              <w:rPr>
                <w:b/>
              </w:rPr>
            </w:pPr>
            <w:r>
              <w:rPr>
                <w:b/>
                <w:spacing w:val="-2"/>
              </w:rPr>
              <w:t>Issued</w:t>
            </w:r>
          </w:p>
        </w:tc>
        <w:tc>
          <w:tcPr>
            <w:tcW w:w="5736" w:type="dxa"/>
          </w:tcPr>
          <w:p w:rsidR="009858E8" w:rsidRDefault="005476BE">
            <w:pPr>
              <w:pStyle w:val="TableParagraph"/>
            </w:pPr>
            <w:r>
              <w:rPr>
                <w:spacing w:val="-4"/>
              </w:rPr>
              <w:t>2023</w:t>
            </w:r>
          </w:p>
        </w:tc>
      </w:tr>
      <w:tr w:rsidR="009858E8" w:rsidTr="00CE5EB6">
        <w:trPr>
          <w:trHeight w:val="263"/>
        </w:trPr>
        <w:tc>
          <w:tcPr>
            <w:tcW w:w="3896" w:type="dxa"/>
          </w:tcPr>
          <w:p w:rsidR="009858E8" w:rsidRDefault="005476BE">
            <w:pPr>
              <w:pStyle w:val="TableParagraph"/>
              <w:spacing w:line="230" w:lineRule="exact"/>
              <w:ind w:left="105"/>
              <w:rPr>
                <w:b/>
              </w:rPr>
            </w:pPr>
            <w:r>
              <w:rPr>
                <w:b/>
                <w:spacing w:val="-2"/>
              </w:rPr>
              <w:t>Revised</w:t>
            </w:r>
          </w:p>
        </w:tc>
        <w:tc>
          <w:tcPr>
            <w:tcW w:w="5736" w:type="dxa"/>
          </w:tcPr>
          <w:p w:rsidR="009858E8" w:rsidRDefault="005476BE">
            <w:pPr>
              <w:pStyle w:val="TableParagraph"/>
              <w:spacing w:line="230" w:lineRule="exact"/>
            </w:pPr>
            <w:r>
              <w:t>June</w:t>
            </w:r>
            <w:r>
              <w:rPr>
                <w:spacing w:val="1"/>
              </w:rPr>
              <w:t xml:space="preserve"> </w:t>
            </w:r>
            <w:r>
              <w:rPr>
                <w:spacing w:val="-4"/>
              </w:rPr>
              <w:t>2024</w:t>
            </w:r>
          </w:p>
        </w:tc>
      </w:tr>
      <w:tr w:rsidR="009858E8" w:rsidTr="00CE5EB6">
        <w:trPr>
          <w:trHeight w:val="317"/>
        </w:trPr>
        <w:tc>
          <w:tcPr>
            <w:tcW w:w="3896" w:type="dxa"/>
          </w:tcPr>
          <w:p w:rsidR="009858E8" w:rsidRDefault="005476BE">
            <w:pPr>
              <w:pStyle w:val="TableParagraph"/>
              <w:ind w:left="105"/>
              <w:rPr>
                <w:b/>
              </w:rPr>
            </w:pPr>
            <w:r>
              <w:rPr>
                <w:b/>
              </w:rPr>
              <w:t>Expiry</w:t>
            </w:r>
            <w:r>
              <w:rPr>
                <w:b/>
                <w:spacing w:val="-7"/>
              </w:rPr>
              <w:t xml:space="preserve"> </w:t>
            </w:r>
            <w:r>
              <w:rPr>
                <w:b/>
                <w:spacing w:val="-4"/>
              </w:rPr>
              <w:t>date</w:t>
            </w:r>
          </w:p>
        </w:tc>
        <w:tc>
          <w:tcPr>
            <w:tcW w:w="5736" w:type="dxa"/>
          </w:tcPr>
          <w:p w:rsidR="009858E8" w:rsidRDefault="005476BE">
            <w:pPr>
              <w:pStyle w:val="TableParagraph"/>
            </w:pPr>
            <w:r>
              <w:rPr>
                <w:spacing w:val="-4"/>
              </w:rPr>
              <w:t>2026</w:t>
            </w:r>
          </w:p>
        </w:tc>
      </w:tr>
      <w:tr w:rsidR="009858E8" w:rsidTr="00CE5EB6">
        <w:trPr>
          <w:trHeight w:val="306"/>
        </w:trPr>
        <w:tc>
          <w:tcPr>
            <w:tcW w:w="3896" w:type="dxa"/>
          </w:tcPr>
          <w:p w:rsidR="009858E8" w:rsidRDefault="005476BE">
            <w:pPr>
              <w:pStyle w:val="TableParagraph"/>
              <w:ind w:left="105"/>
              <w:rPr>
                <w:b/>
              </w:rPr>
            </w:pPr>
            <w:r>
              <w:rPr>
                <w:b/>
                <w:spacing w:val="-2"/>
              </w:rPr>
              <w:t>Approver</w:t>
            </w:r>
          </w:p>
        </w:tc>
        <w:tc>
          <w:tcPr>
            <w:tcW w:w="5736" w:type="dxa"/>
          </w:tcPr>
          <w:p w:rsidR="009858E8" w:rsidRDefault="005476BE">
            <w:pPr>
              <w:pStyle w:val="TableParagraph"/>
            </w:pPr>
            <w:r>
              <w:t>University</w:t>
            </w:r>
            <w:r>
              <w:rPr>
                <w:spacing w:val="-10"/>
              </w:rPr>
              <w:t xml:space="preserve"> </w:t>
            </w:r>
            <w:r>
              <w:rPr>
                <w:spacing w:val="-2"/>
              </w:rPr>
              <w:t>Council</w:t>
            </w:r>
          </w:p>
        </w:tc>
      </w:tr>
      <w:tr w:rsidR="009858E8" w:rsidTr="00CE5EB6">
        <w:trPr>
          <w:trHeight w:val="306"/>
        </w:trPr>
        <w:tc>
          <w:tcPr>
            <w:tcW w:w="3896" w:type="dxa"/>
          </w:tcPr>
          <w:p w:rsidR="009858E8" w:rsidRDefault="005476BE">
            <w:pPr>
              <w:pStyle w:val="TableParagraph"/>
              <w:ind w:left="105"/>
              <w:rPr>
                <w:b/>
              </w:rPr>
            </w:pPr>
            <w:r>
              <w:rPr>
                <w:b/>
              </w:rPr>
              <w:t>Document</w:t>
            </w:r>
            <w:r>
              <w:rPr>
                <w:b/>
                <w:spacing w:val="-7"/>
              </w:rPr>
              <w:t xml:space="preserve"> </w:t>
            </w:r>
            <w:r>
              <w:rPr>
                <w:b/>
                <w:spacing w:val="-4"/>
              </w:rPr>
              <w:t>owner</w:t>
            </w:r>
          </w:p>
        </w:tc>
        <w:tc>
          <w:tcPr>
            <w:tcW w:w="5736" w:type="dxa"/>
          </w:tcPr>
          <w:p w:rsidR="009858E8" w:rsidRDefault="005476BE">
            <w:pPr>
              <w:pStyle w:val="TableParagraph"/>
            </w:pPr>
            <w:r>
              <w:t>Quality</w:t>
            </w:r>
            <w:r>
              <w:rPr>
                <w:spacing w:val="-13"/>
              </w:rPr>
              <w:t xml:space="preserve"> </w:t>
            </w:r>
            <w:r>
              <w:t xml:space="preserve">Assurance </w:t>
            </w:r>
            <w:r>
              <w:rPr>
                <w:spacing w:val="-2"/>
              </w:rPr>
              <w:t>department</w:t>
            </w:r>
          </w:p>
        </w:tc>
      </w:tr>
      <w:tr w:rsidR="009858E8" w:rsidTr="00CE5EB6">
        <w:trPr>
          <w:trHeight w:val="306"/>
        </w:trPr>
        <w:tc>
          <w:tcPr>
            <w:tcW w:w="3896" w:type="dxa"/>
          </w:tcPr>
          <w:p w:rsidR="009858E8" w:rsidRDefault="005476BE">
            <w:pPr>
              <w:pStyle w:val="TableParagraph"/>
              <w:ind w:left="105"/>
              <w:rPr>
                <w:b/>
              </w:rPr>
            </w:pPr>
            <w:r>
              <w:rPr>
                <w:b/>
              </w:rPr>
              <w:t>Document</w:t>
            </w:r>
            <w:r>
              <w:rPr>
                <w:b/>
                <w:spacing w:val="-5"/>
              </w:rPr>
              <w:t xml:space="preserve"> </w:t>
            </w:r>
            <w:r>
              <w:rPr>
                <w:b/>
                <w:spacing w:val="-2"/>
              </w:rPr>
              <w:t>status</w:t>
            </w:r>
          </w:p>
        </w:tc>
        <w:tc>
          <w:tcPr>
            <w:tcW w:w="5736" w:type="dxa"/>
          </w:tcPr>
          <w:p w:rsidR="009858E8" w:rsidRDefault="005476BE">
            <w:pPr>
              <w:pStyle w:val="TableParagraph"/>
            </w:pPr>
            <w:r>
              <w:rPr>
                <w:spacing w:val="-2"/>
              </w:rPr>
              <w:t>Published</w:t>
            </w:r>
          </w:p>
        </w:tc>
      </w:tr>
      <w:tr w:rsidR="009858E8" w:rsidTr="00CE5EB6">
        <w:trPr>
          <w:trHeight w:val="306"/>
        </w:trPr>
        <w:tc>
          <w:tcPr>
            <w:tcW w:w="3896" w:type="dxa"/>
          </w:tcPr>
          <w:p w:rsidR="009858E8" w:rsidRDefault="005476BE">
            <w:pPr>
              <w:pStyle w:val="TableParagraph"/>
              <w:ind w:left="105"/>
              <w:rPr>
                <w:b/>
              </w:rPr>
            </w:pPr>
            <w:r>
              <w:rPr>
                <w:b/>
              </w:rPr>
              <w:t>Information</w:t>
            </w:r>
            <w:r>
              <w:rPr>
                <w:b/>
                <w:spacing w:val="-11"/>
              </w:rPr>
              <w:t xml:space="preserve"> </w:t>
            </w:r>
            <w:r>
              <w:rPr>
                <w:b/>
                <w:spacing w:val="-2"/>
              </w:rPr>
              <w:t>classification</w:t>
            </w:r>
          </w:p>
        </w:tc>
        <w:tc>
          <w:tcPr>
            <w:tcW w:w="5736" w:type="dxa"/>
          </w:tcPr>
          <w:p w:rsidR="009858E8" w:rsidRDefault="005476BE">
            <w:pPr>
              <w:pStyle w:val="TableParagraph"/>
            </w:pPr>
            <w:r>
              <w:rPr>
                <w:spacing w:val="-2"/>
              </w:rPr>
              <w:t>Public</w:t>
            </w:r>
          </w:p>
        </w:tc>
      </w:tr>
      <w:tr w:rsidR="009858E8" w:rsidTr="00CE5EB6">
        <w:trPr>
          <w:trHeight w:val="1070"/>
        </w:trPr>
        <w:tc>
          <w:tcPr>
            <w:tcW w:w="3896" w:type="dxa"/>
          </w:tcPr>
          <w:p w:rsidR="009858E8" w:rsidRDefault="005476BE">
            <w:pPr>
              <w:pStyle w:val="TableParagraph"/>
              <w:ind w:left="105"/>
              <w:rPr>
                <w:b/>
              </w:rPr>
            </w:pPr>
            <w:r>
              <w:rPr>
                <w:b/>
                <w:spacing w:val="-2"/>
              </w:rPr>
              <w:t>Purpose</w:t>
            </w:r>
          </w:p>
        </w:tc>
        <w:tc>
          <w:tcPr>
            <w:tcW w:w="5736" w:type="dxa"/>
          </w:tcPr>
          <w:p w:rsidR="009858E8" w:rsidRDefault="00CE5EB6" w:rsidP="00CE5EB6">
            <w:pPr>
              <w:pStyle w:val="TableParagraph"/>
              <w:spacing w:line="250" w:lineRule="exact"/>
            </w:pPr>
            <w:r>
              <w:t>It is a foundational guide for students, faculty, and collaborators by defining SILC's mission to foster innovation, leadership, and interdisciplinary collaboration. The document details membership criteria, governance, club formation processes, event planning, and alignment with AzTU's strategic goals, ensuring transparent and effective implementation of SILC’s activities.</w:t>
            </w:r>
          </w:p>
        </w:tc>
      </w:tr>
    </w:tbl>
    <w:p w:rsidR="009858E8" w:rsidRDefault="009858E8">
      <w:pPr>
        <w:pStyle w:val="BodyText"/>
        <w:rPr>
          <w:b/>
          <w:sz w:val="28"/>
        </w:rPr>
      </w:pPr>
    </w:p>
    <w:p w:rsidR="009858E8" w:rsidRDefault="009858E8">
      <w:pPr>
        <w:pStyle w:val="BodyText"/>
        <w:rPr>
          <w:b/>
          <w:sz w:val="28"/>
        </w:rPr>
      </w:pPr>
    </w:p>
    <w:p w:rsidR="009858E8" w:rsidRDefault="009858E8">
      <w:pPr>
        <w:pStyle w:val="BodyText"/>
        <w:spacing w:before="45"/>
        <w:rPr>
          <w:b/>
          <w:sz w:val="28"/>
        </w:rPr>
      </w:pPr>
    </w:p>
    <w:p w:rsidR="00CE5EB6" w:rsidRDefault="00CE5EB6">
      <w:pPr>
        <w:ind w:left="714" w:right="699"/>
        <w:jc w:val="center"/>
        <w:rPr>
          <w:b/>
          <w:color w:val="17365D"/>
          <w:sz w:val="28"/>
        </w:rPr>
      </w:pPr>
    </w:p>
    <w:p w:rsidR="00CE5EB6" w:rsidRDefault="00CE5EB6">
      <w:pPr>
        <w:ind w:left="714" w:right="699"/>
        <w:jc w:val="center"/>
        <w:rPr>
          <w:b/>
          <w:color w:val="17365D"/>
          <w:sz w:val="28"/>
        </w:rPr>
      </w:pPr>
    </w:p>
    <w:p w:rsidR="009858E8" w:rsidRDefault="005476BE">
      <w:pPr>
        <w:ind w:left="714" w:right="699"/>
        <w:jc w:val="center"/>
        <w:rPr>
          <w:b/>
          <w:sz w:val="28"/>
        </w:rPr>
      </w:pPr>
      <w:r>
        <w:rPr>
          <w:b/>
          <w:color w:val="17365D"/>
          <w:sz w:val="28"/>
        </w:rPr>
        <w:t>Baku-</w:t>
      </w:r>
      <w:r>
        <w:rPr>
          <w:b/>
          <w:color w:val="17365D"/>
          <w:spacing w:val="-4"/>
          <w:sz w:val="28"/>
        </w:rPr>
        <w:t>2024</w:t>
      </w:r>
    </w:p>
    <w:p w:rsidR="009858E8" w:rsidRDefault="009858E8">
      <w:pPr>
        <w:jc w:val="center"/>
        <w:rPr>
          <w:b/>
          <w:sz w:val="28"/>
        </w:rPr>
        <w:sectPr w:rsidR="009858E8">
          <w:type w:val="continuous"/>
          <w:pgSz w:w="11910" w:h="16830"/>
          <w:pgMar w:top="1920" w:right="992" w:bottom="280" w:left="1417" w:header="720" w:footer="720" w:gutter="0"/>
          <w:cols w:space="720"/>
        </w:sectPr>
      </w:pPr>
    </w:p>
    <w:sdt>
      <w:sdtPr>
        <w:rPr>
          <w:rFonts w:ascii="Times New Roman" w:hAnsi="Times New Roman" w:cs="Times New Roman"/>
          <w:b/>
        </w:rPr>
        <w:id w:val="-192844409"/>
        <w:docPartObj>
          <w:docPartGallery w:val="Table of Contents"/>
          <w:docPartUnique/>
        </w:docPartObj>
      </w:sdtPr>
      <w:sdtEndPr>
        <w:rPr>
          <w:rFonts w:eastAsia="Times New Roman"/>
          <w:bCs/>
          <w:noProof/>
          <w:color w:val="auto"/>
          <w:sz w:val="22"/>
          <w:szCs w:val="22"/>
        </w:rPr>
      </w:sdtEndPr>
      <w:sdtContent>
        <w:p w:rsidR="005920D2" w:rsidRPr="005920D2" w:rsidRDefault="005920D2" w:rsidP="005920D2">
          <w:pPr>
            <w:pStyle w:val="TOCHeading"/>
            <w:jc w:val="center"/>
            <w:rPr>
              <w:rFonts w:ascii="Times New Roman" w:hAnsi="Times New Roman" w:cs="Times New Roman"/>
              <w:b/>
            </w:rPr>
          </w:pPr>
          <w:r w:rsidRPr="005920D2">
            <w:rPr>
              <w:rFonts w:ascii="Times New Roman" w:hAnsi="Times New Roman" w:cs="Times New Roman"/>
              <w:b/>
            </w:rPr>
            <w:t>Table of C</w:t>
          </w:r>
          <w:bookmarkStart w:id="1" w:name="_GoBack"/>
          <w:bookmarkEnd w:id="1"/>
          <w:r w:rsidRPr="005920D2">
            <w:rPr>
              <w:rFonts w:ascii="Times New Roman" w:hAnsi="Times New Roman" w:cs="Times New Roman"/>
              <w:b/>
            </w:rPr>
            <w:t>ontents</w:t>
          </w:r>
        </w:p>
        <w:p w:rsidR="005920D2" w:rsidRDefault="005920D2">
          <w:pPr>
            <w:pStyle w:val="TOC1"/>
            <w:tabs>
              <w:tab w:val="right" w:leader="dot" w:pos="949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5023433" w:history="1">
            <w:r w:rsidRPr="004A624D">
              <w:rPr>
                <w:rStyle w:val="Hyperlink"/>
                <w:smallCaps/>
                <w:noProof/>
                <w:spacing w:val="5"/>
              </w:rPr>
              <w:t>Introduction</w:t>
            </w:r>
            <w:r>
              <w:rPr>
                <w:noProof/>
                <w:webHidden/>
              </w:rPr>
              <w:tab/>
            </w:r>
            <w:r>
              <w:rPr>
                <w:noProof/>
                <w:webHidden/>
              </w:rPr>
              <w:fldChar w:fldCharType="begin"/>
            </w:r>
            <w:r>
              <w:rPr>
                <w:noProof/>
                <w:webHidden/>
              </w:rPr>
              <w:instrText xml:space="preserve"> PAGEREF _Toc195023433 \h </w:instrText>
            </w:r>
            <w:r>
              <w:rPr>
                <w:noProof/>
                <w:webHidden/>
              </w:rPr>
            </w:r>
            <w:r>
              <w:rPr>
                <w:noProof/>
                <w:webHidden/>
              </w:rPr>
              <w:fldChar w:fldCharType="separate"/>
            </w:r>
            <w:r>
              <w:rPr>
                <w:noProof/>
                <w:webHidden/>
              </w:rPr>
              <w:t>2</w:t>
            </w:r>
            <w:r>
              <w:rPr>
                <w:noProof/>
                <w:webHidden/>
              </w:rPr>
              <w:fldChar w:fldCharType="end"/>
            </w:r>
          </w:hyperlink>
        </w:p>
        <w:p w:rsidR="005920D2" w:rsidRDefault="005920D2" w:rsidP="005920D2">
          <w:pPr>
            <w:pStyle w:val="TOC2"/>
            <w:tabs>
              <w:tab w:val="right" w:leader="dot" w:pos="9491"/>
            </w:tabs>
            <w:ind w:left="0"/>
            <w:rPr>
              <w:rFonts w:asciiTheme="minorHAnsi" w:eastAsiaTheme="minorEastAsia" w:hAnsiTheme="minorHAnsi" w:cstheme="minorBidi"/>
              <w:noProof/>
              <w:sz w:val="22"/>
              <w:szCs w:val="22"/>
            </w:rPr>
          </w:pPr>
          <w:hyperlink w:anchor="_Toc195023434" w:history="1">
            <w:r w:rsidRPr="004A624D">
              <w:rPr>
                <w:rStyle w:val="Hyperlink"/>
                <w:noProof/>
              </w:rPr>
              <w:t>Objective</w:t>
            </w:r>
            <w:r>
              <w:rPr>
                <w:noProof/>
                <w:webHidden/>
              </w:rPr>
              <w:tab/>
            </w:r>
            <w:r>
              <w:rPr>
                <w:noProof/>
                <w:webHidden/>
              </w:rPr>
              <w:fldChar w:fldCharType="begin"/>
            </w:r>
            <w:r>
              <w:rPr>
                <w:noProof/>
                <w:webHidden/>
              </w:rPr>
              <w:instrText xml:space="preserve"> PAGEREF _Toc195023434 \h </w:instrText>
            </w:r>
            <w:r>
              <w:rPr>
                <w:noProof/>
                <w:webHidden/>
              </w:rPr>
            </w:r>
            <w:r>
              <w:rPr>
                <w:noProof/>
                <w:webHidden/>
              </w:rPr>
              <w:fldChar w:fldCharType="separate"/>
            </w:r>
            <w:r>
              <w:rPr>
                <w:noProof/>
                <w:webHidden/>
              </w:rPr>
              <w:t>2</w:t>
            </w:r>
            <w:r>
              <w:rPr>
                <w:noProof/>
                <w:webHidden/>
              </w:rPr>
              <w:fldChar w:fldCharType="end"/>
            </w:r>
          </w:hyperlink>
        </w:p>
        <w:p w:rsidR="005920D2" w:rsidRDefault="005920D2" w:rsidP="005920D2">
          <w:pPr>
            <w:pStyle w:val="TOC3"/>
            <w:tabs>
              <w:tab w:val="right" w:leader="dot" w:pos="9491"/>
            </w:tabs>
            <w:ind w:left="0"/>
            <w:rPr>
              <w:noProof/>
            </w:rPr>
          </w:pPr>
          <w:hyperlink w:anchor="_Toc195023435" w:history="1">
            <w:r w:rsidRPr="005920D2">
              <w:rPr>
                <w:rStyle w:val="Hyperlink"/>
                <w:bCs/>
                <w:noProof/>
              </w:rPr>
              <w:t>Scope</w:t>
            </w:r>
            <w:r>
              <w:rPr>
                <w:noProof/>
                <w:webHidden/>
              </w:rPr>
              <w:tab/>
            </w:r>
            <w:r>
              <w:rPr>
                <w:noProof/>
                <w:webHidden/>
              </w:rPr>
              <w:fldChar w:fldCharType="begin"/>
            </w:r>
            <w:r>
              <w:rPr>
                <w:noProof/>
                <w:webHidden/>
              </w:rPr>
              <w:instrText xml:space="preserve"> PAGEREF _Toc195023435 \h </w:instrText>
            </w:r>
            <w:r>
              <w:rPr>
                <w:noProof/>
                <w:webHidden/>
              </w:rPr>
            </w:r>
            <w:r>
              <w:rPr>
                <w:noProof/>
                <w:webHidden/>
              </w:rPr>
              <w:fldChar w:fldCharType="separate"/>
            </w:r>
            <w:r>
              <w:rPr>
                <w:noProof/>
                <w:webHidden/>
              </w:rPr>
              <w:t>2</w:t>
            </w:r>
            <w:r>
              <w:rPr>
                <w:noProof/>
                <w:webHidden/>
              </w:rPr>
              <w:fldChar w:fldCharType="end"/>
            </w:r>
          </w:hyperlink>
        </w:p>
        <w:p w:rsidR="005920D2" w:rsidRDefault="005920D2">
          <w:pPr>
            <w:pStyle w:val="TOC1"/>
            <w:tabs>
              <w:tab w:val="right" w:leader="dot" w:pos="9491"/>
            </w:tabs>
            <w:rPr>
              <w:rFonts w:asciiTheme="minorHAnsi" w:eastAsiaTheme="minorEastAsia" w:hAnsiTheme="minorHAnsi" w:cstheme="minorBidi"/>
              <w:noProof/>
              <w:sz w:val="22"/>
              <w:szCs w:val="22"/>
            </w:rPr>
          </w:pPr>
          <w:hyperlink w:anchor="_Toc195023436" w:history="1">
            <w:r w:rsidRPr="004A624D">
              <w:rPr>
                <w:rStyle w:val="Hyperlink"/>
                <w:noProof/>
              </w:rPr>
              <w:t>Responsibilities</w:t>
            </w:r>
            <w:r>
              <w:rPr>
                <w:noProof/>
                <w:webHidden/>
              </w:rPr>
              <w:tab/>
            </w:r>
            <w:r>
              <w:rPr>
                <w:noProof/>
                <w:webHidden/>
              </w:rPr>
              <w:fldChar w:fldCharType="begin"/>
            </w:r>
            <w:r>
              <w:rPr>
                <w:noProof/>
                <w:webHidden/>
              </w:rPr>
              <w:instrText xml:space="preserve"> PAGEREF _Toc195023436 \h </w:instrText>
            </w:r>
            <w:r>
              <w:rPr>
                <w:noProof/>
                <w:webHidden/>
              </w:rPr>
            </w:r>
            <w:r>
              <w:rPr>
                <w:noProof/>
                <w:webHidden/>
              </w:rPr>
              <w:fldChar w:fldCharType="separate"/>
            </w:r>
            <w:r>
              <w:rPr>
                <w:noProof/>
                <w:webHidden/>
              </w:rPr>
              <w:t>3</w:t>
            </w:r>
            <w:r>
              <w:rPr>
                <w:noProof/>
                <w:webHidden/>
              </w:rPr>
              <w:fldChar w:fldCharType="end"/>
            </w:r>
          </w:hyperlink>
        </w:p>
        <w:p w:rsidR="005920D2" w:rsidRDefault="005920D2">
          <w:pPr>
            <w:pStyle w:val="TOC1"/>
            <w:tabs>
              <w:tab w:val="right" w:leader="dot" w:pos="9491"/>
            </w:tabs>
            <w:rPr>
              <w:rFonts w:asciiTheme="minorHAnsi" w:eastAsiaTheme="minorEastAsia" w:hAnsiTheme="minorHAnsi" w:cstheme="minorBidi"/>
              <w:noProof/>
              <w:sz w:val="22"/>
              <w:szCs w:val="22"/>
            </w:rPr>
          </w:pPr>
          <w:hyperlink w:anchor="_Toc195023437" w:history="1">
            <w:r w:rsidRPr="004A624D">
              <w:rPr>
                <w:rStyle w:val="Hyperlink"/>
                <w:noProof/>
              </w:rPr>
              <w:t>Procedures</w:t>
            </w:r>
            <w:r>
              <w:rPr>
                <w:noProof/>
                <w:webHidden/>
              </w:rPr>
              <w:tab/>
            </w:r>
            <w:r>
              <w:rPr>
                <w:noProof/>
                <w:webHidden/>
              </w:rPr>
              <w:fldChar w:fldCharType="begin"/>
            </w:r>
            <w:r>
              <w:rPr>
                <w:noProof/>
                <w:webHidden/>
              </w:rPr>
              <w:instrText xml:space="preserve"> PAGEREF _Toc195023437 \h </w:instrText>
            </w:r>
            <w:r>
              <w:rPr>
                <w:noProof/>
                <w:webHidden/>
              </w:rPr>
            </w:r>
            <w:r>
              <w:rPr>
                <w:noProof/>
                <w:webHidden/>
              </w:rPr>
              <w:fldChar w:fldCharType="separate"/>
            </w:r>
            <w:r>
              <w:rPr>
                <w:noProof/>
                <w:webHidden/>
              </w:rPr>
              <w:t>3</w:t>
            </w:r>
            <w:r>
              <w:rPr>
                <w:noProof/>
                <w:webHidden/>
              </w:rPr>
              <w:fldChar w:fldCharType="end"/>
            </w:r>
          </w:hyperlink>
        </w:p>
        <w:p w:rsidR="005920D2" w:rsidRDefault="005920D2">
          <w:pPr>
            <w:pStyle w:val="TOC1"/>
            <w:tabs>
              <w:tab w:val="right" w:leader="dot" w:pos="9491"/>
            </w:tabs>
            <w:rPr>
              <w:rFonts w:asciiTheme="minorHAnsi" w:eastAsiaTheme="minorEastAsia" w:hAnsiTheme="minorHAnsi" w:cstheme="minorBidi"/>
              <w:noProof/>
              <w:sz w:val="22"/>
              <w:szCs w:val="22"/>
            </w:rPr>
          </w:pPr>
          <w:hyperlink w:anchor="_Toc195023438" w:history="1">
            <w:r w:rsidRPr="004A624D">
              <w:rPr>
                <w:rStyle w:val="Hyperlink"/>
                <w:noProof/>
              </w:rPr>
              <w:t>Clubs and Divisions</w:t>
            </w:r>
            <w:r>
              <w:rPr>
                <w:noProof/>
                <w:webHidden/>
              </w:rPr>
              <w:tab/>
            </w:r>
            <w:r>
              <w:rPr>
                <w:noProof/>
                <w:webHidden/>
              </w:rPr>
              <w:fldChar w:fldCharType="begin"/>
            </w:r>
            <w:r>
              <w:rPr>
                <w:noProof/>
                <w:webHidden/>
              </w:rPr>
              <w:instrText xml:space="preserve"> PAGEREF _Toc195023438 \h </w:instrText>
            </w:r>
            <w:r>
              <w:rPr>
                <w:noProof/>
                <w:webHidden/>
              </w:rPr>
            </w:r>
            <w:r>
              <w:rPr>
                <w:noProof/>
                <w:webHidden/>
              </w:rPr>
              <w:fldChar w:fldCharType="separate"/>
            </w:r>
            <w:r>
              <w:rPr>
                <w:noProof/>
                <w:webHidden/>
              </w:rPr>
              <w:t>3</w:t>
            </w:r>
            <w:r>
              <w:rPr>
                <w:noProof/>
                <w:webHidden/>
              </w:rPr>
              <w:fldChar w:fldCharType="end"/>
            </w:r>
          </w:hyperlink>
        </w:p>
        <w:p w:rsidR="005920D2" w:rsidRDefault="005920D2">
          <w:pPr>
            <w:pStyle w:val="TOC1"/>
            <w:tabs>
              <w:tab w:val="right" w:leader="dot" w:pos="9491"/>
            </w:tabs>
            <w:rPr>
              <w:rFonts w:asciiTheme="minorHAnsi" w:eastAsiaTheme="minorEastAsia" w:hAnsiTheme="minorHAnsi" w:cstheme="minorBidi"/>
              <w:noProof/>
              <w:sz w:val="22"/>
              <w:szCs w:val="22"/>
            </w:rPr>
          </w:pPr>
          <w:hyperlink w:anchor="_Toc195023439" w:history="1">
            <w:r w:rsidRPr="004A624D">
              <w:rPr>
                <w:rStyle w:val="Hyperlink"/>
                <w:noProof/>
              </w:rPr>
              <w:t>Alignment with AzTU’s Strategic Goals</w:t>
            </w:r>
            <w:r>
              <w:rPr>
                <w:noProof/>
                <w:webHidden/>
              </w:rPr>
              <w:tab/>
            </w:r>
            <w:r>
              <w:rPr>
                <w:noProof/>
                <w:webHidden/>
              </w:rPr>
              <w:fldChar w:fldCharType="begin"/>
            </w:r>
            <w:r>
              <w:rPr>
                <w:noProof/>
                <w:webHidden/>
              </w:rPr>
              <w:instrText xml:space="preserve"> PAGEREF _Toc195023439 \h </w:instrText>
            </w:r>
            <w:r>
              <w:rPr>
                <w:noProof/>
                <w:webHidden/>
              </w:rPr>
            </w:r>
            <w:r>
              <w:rPr>
                <w:noProof/>
                <w:webHidden/>
              </w:rPr>
              <w:fldChar w:fldCharType="separate"/>
            </w:r>
            <w:r>
              <w:rPr>
                <w:noProof/>
                <w:webHidden/>
              </w:rPr>
              <w:t>4</w:t>
            </w:r>
            <w:r>
              <w:rPr>
                <w:noProof/>
                <w:webHidden/>
              </w:rPr>
              <w:fldChar w:fldCharType="end"/>
            </w:r>
          </w:hyperlink>
        </w:p>
        <w:p w:rsidR="005920D2" w:rsidRDefault="005920D2">
          <w:pPr>
            <w:pStyle w:val="TOC1"/>
            <w:tabs>
              <w:tab w:val="right" w:leader="dot" w:pos="9491"/>
            </w:tabs>
            <w:rPr>
              <w:rFonts w:asciiTheme="minorHAnsi" w:eastAsiaTheme="minorEastAsia" w:hAnsiTheme="minorHAnsi" w:cstheme="minorBidi"/>
              <w:noProof/>
              <w:sz w:val="22"/>
              <w:szCs w:val="22"/>
            </w:rPr>
          </w:pPr>
          <w:hyperlink w:anchor="_Toc195023440" w:history="1">
            <w:r w:rsidRPr="004A624D">
              <w:rPr>
                <w:rStyle w:val="Hyperlink"/>
                <w:noProof/>
              </w:rPr>
              <w:t>Review</w:t>
            </w:r>
            <w:r>
              <w:rPr>
                <w:noProof/>
                <w:webHidden/>
              </w:rPr>
              <w:tab/>
            </w:r>
            <w:r>
              <w:rPr>
                <w:noProof/>
                <w:webHidden/>
              </w:rPr>
              <w:fldChar w:fldCharType="begin"/>
            </w:r>
            <w:r>
              <w:rPr>
                <w:noProof/>
                <w:webHidden/>
              </w:rPr>
              <w:instrText xml:space="preserve"> PAGEREF _Toc195023440 \h </w:instrText>
            </w:r>
            <w:r>
              <w:rPr>
                <w:noProof/>
                <w:webHidden/>
              </w:rPr>
            </w:r>
            <w:r>
              <w:rPr>
                <w:noProof/>
                <w:webHidden/>
              </w:rPr>
              <w:fldChar w:fldCharType="separate"/>
            </w:r>
            <w:r>
              <w:rPr>
                <w:noProof/>
                <w:webHidden/>
              </w:rPr>
              <w:t>4</w:t>
            </w:r>
            <w:r>
              <w:rPr>
                <w:noProof/>
                <w:webHidden/>
              </w:rPr>
              <w:fldChar w:fldCharType="end"/>
            </w:r>
          </w:hyperlink>
        </w:p>
        <w:p w:rsidR="005920D2" w:rsidRDefault="005920D2">
          <w:r>
            <w:rPr>
              <w:b/>
              <w:bCs/>
              <w:noProof/>
            </w:rPr>
            <w:fldChar w:fldCharType="end"/>
          </w:r>
        </w:p>
      </w:sdtContent>
    </w:sdt>
    <w:p w:rsidR="009858E8" w:rsidRDefault="009858E8">
      <w:pPr>
        <w:sectPr w:rsidR="009858E8">
          <w:footerReference w:type="default" r:id="rId9"/>
          <w:pgSz w:w="11910" w:h="16830"/>
          <w:pgMar w:top="1360" w:right="992" w:bottom="1200" w:left="1417" w:header="0" w:footer="1010" w:gutter="0"/>
          <w:pgNumType w:start="1"/>
          <w:cols w:space="720"/>
        </w:sectPr>
      </w:pPr>
    </w:p>
    <w:p w:rsidR="00CE5EB6" w:rsidRPr="005920D2" w:rsidRDefault="00CE5EB6" w:rsidP="00493224">
      <w:pPr>
        <w:pStyle w:val="Heading1"/>
        <w:rPr>
          <w:rStyle w:val="IntenseReference"/>
          <w:b/>
          <w:color w:val="002060"/>
        </w:rPr>
      </w:pPr>
      <w:bookmarkStart w:id="2" w:name="_bookmark0"/>
      <w:bookmarkStart w:id="3" w:name="_1._Introduction"/>
      <w:bookmarkStart w:id="4" w:name="_Toc195023433"/>
      <w:bookmarkEnd w:id="2"/>
      <w:bookmarkEnd w:id="3"/>
      <w:r w:rsidRPr="005920D2">
        <w:rPr>
          <w:rStyle w:val="IntenseReference"/>
          <w:b/>
          <w:color w:val="002060"/>
        </w:rPr>
        <w:lastRenderedPageBreak/>
        <w:t>Introduction</w:t>
      </w:r>
      <w:bookmarkEnd w:id="4"/>
    </w:p>
    <w:p w:rsidR="00CE5EB6" w:rsidRPr="00CE5EB6" w:rsidRDefault="00CE5EB6" w:rsidP="00CE5EB6">
      <w:pPr>
        <w:jc w:val="both"/>
        <w:rPr>
          <w:color w:val="002060"/>
        </w:rPr>
      </w:pPr>
    </w:p>
    <w:p w:rsidR="00CE5EB6" w:rsidRPr="00CE5EB6" w:rsidRDefault="00CE5EB6" w:rsidP="00CE5EB6">
      <w:pPr>
        <w:jc w:val="both"/>
        <w:rPr>
          <w:sz w:val="24"/>
          <w:szCs w:val="24"/>
        </w:rPr>
      </w:pPr>
      <w:r w:rsidRPr="00CE5EB6">
        <w:rPr>
          <w:sz w:val="24"/>
          <w:szCs w:val="24"/>
        </w:rPr>
        <w:t xml:space="preserve">The </w:t>
      </w:r>
      <w:r w:rsidRPr="00CE5EB6">
        <w:rPr>
          <w:rStyle w:val="Strong"/>
          <w:sz w:val="24"/>
          <w:szCs w:val="24"/>
        </w:rPr>
        <w:t>Student Innovation &amp; Leadership Circle (SILC)</w:t>
      </w:r>
      <w:r w:rsidRPr="00CE5EB6">
        <w:rPr>
          <w:sz w:val="24"/>
          <w:szCs w:val="24"/>
        </w:rPr>
        <w:t xml:space="preserve"> at Azerbaijan Technical University (AzTU) is designed to empower students by providing a platform for leadership, innovation, and interdisciplinary collaboration. SILC aims to enhance the academic and extracurricular experiences of AzTU students through student-led projects, initiatives, and leadership opportunities, contributing to the university’s strategic goals of academic excellence, social engagement, and sustainable development.</w:t>
      </w:r>
    </w:p>
    <w:p w:rsidR="00CE5EB6" w:rsidRPr="00CA61F3" w:rsidRDefault="00CE5EB6" w:rsidP="00CE5EB6">
      <w:pPr>
        <w:jc w:val="both"/>
        <w:rPr>
          <w:sz w:val="24"/>
          <w:szCs w:val="24"/>
        </w:rPr>
      </w:pPr>
    </w:p>
    <w:p w:rsidR="00CE5EB6" w:rsidRPr="005920D2" w:rsidRDefault="005920D2" w:rsidP="00493224">
      <w:pPr>
        <w:pStyle w:val="Heading2"/>
        <w:rPr>
          <w:rStyle w:val="IntenseReference"/>
          <w:b/>
          <w:color w:val="002060"/>
        </w:rPr>
      </w:pPr>
      <w:bookmarkStart w:id="5" w:name="_Toc195023434"/>
      <w:r w:rsidRPr="005920D2">
        <w:rPr>
          <w:rStyle w:val="Strong"/>
          <w:b/>
          <w:color w:val="002060"/>
          <w:sz w:val="28"/>
        </w:rPr>
        <w:t>Objective</w:t>
      </w:r>
      <w:bookmarkEnd w:id="5"/>
    </w:p>
    <w:p w:rsidR="00CE5EB6" w:rsidRPr="00CE5EB6" w:rsidRDefault="00CE5EB6" w:rsidP="00CE5EB6">
      <w:pPr>
        <w:jc w:val="both"/>
        <w:rPr>
          <w:color w:val="002060"/>
        </w:rPr>
      </w:pPr>
    </w:p>
    <w:p w:rsidR="00CE5EB6" w:rsidRPr="00CE5EB6" w:rsidRDefault="00CE5EB6" w:rsidP="00CE5EB6">
      <w:pPr>
        <w:jc w:val="both"/>
        <w:rPr>
          <w:sz w:val="24"/>
          <w:szCs w:val="24"/>
        </w:rPr>
      </w:pPr>
      <w:r w:rsidRPr="00CE5EB6">
        <w:rPr>
          <w:sz w:val="24"/>
          <w:szCs w:val="24"/>
        </w:rPr>
        <w:t>The objectives of SILC are as follows:</w:t>
      </w:r>
    </w:p>
    <w:p w:rsidR="00CE5EB6" w:rsidRPr="00CE5EB6" w:rsidRDefault="00CE5EB6" w:rsidP="00CE5EB6">
      <w:pPr>
        <w:widowControl/>
        <w:numPr>
          <w:ilvl w:val="0"/>
          <w:numId w:val="1"/>
        </w:numPr>
        <w:autoSpaceDE/>
        <w:autoSpaceDN/>
        <w:jc w:val="both"/>
        <w:rPr>
          <w:sz w:val="24"/>
          <w:szCs w:val="24"/>
        </w:rPr>
      </w:pPr>
      <w:r w:rsidRPr="00CE5EB6">
        <w:rPr>
          <w:rStyle w:val="Strong"/>
          <w:b w:val="0"/>
          <w:sz w:val="24"/>
          <w:szCs w:val="24"/>
        </w:rPr>
        <w:t>Foster Innovation:</w:t>
      </w:r>
      <w:r w:rsidRPr="00CE5EB6">
        <w:rPr>
          <w:sz w:val="24"/>
          <w:szCs w:val="24"/>
        </w:rPr>
        <w:t xml:space="preserve"> Promote student-led innovation in academic, technical, social, and entrepreneurial domains.</w:t>
      </w:r>
    </w:p>
    <w:p w:rsidR="00CE5EB6" w:rsidRPr="00CE5EB6" w:rsidRDefault="00CE5EB6" w:rsidP="00CE5EB6">
      <w:pPr>
        <w:widowControl/>
        <w:numPr>
          <w:ilvl w:val="0"/>
          <w:numId w:val="1"/>
        </w:numPr>
        <w:autoSpaceDE/>
        <w:autoSpaceDN/>
        <w:jc w:val="both"/>
        <w:rPr>
          <w:sz w:val="24"/>
          <w:szCs w:val="24"/>
        </w:rPr>
      </w:pPr>
      <w:r w:rsidRPr="00CE5EB6">
        <w:rPr>
          <w:rStyle w:val="Strong"/>
          <w:b w:val="0"/>
          <w:sz w:val="24"/>
          <w:szCs w:val="24"/>
        </w:rPr>
        <w:t>Develop Leadership Skills:</w:t>
      </w:r>
      <w:r w:rsidRPr="00CE5EB6">
        <w:rPr>
          <w:sz w:val="24"/>
          <w:szCs w:val="24"/>
        </w:rPr>
        <w:t xml:space="preserve"> Provide students with leadership opportunities through active involvement in various projects.</w:t>
      </w:r>
    </w:p>
    <w:p w:rsidR="00CE5EB6" w:rsidRPr="00CE5EB6" w:rsidRDefault="00CE5EB6" w:rsidP="00CE5EB6">
      <w:pPr>
        <w:widowControl/>
        <w:numPr>
          <w:ilvl w:val="0"/>
          <w:numId w:val="1"/>
        </w:numPr>
        <w:autoSpaceDE/>
        <w:autoSpaceDN/>
        <w:jc w:val="both"/>
        <w:rPr>
          <w:sz w:val="24"/>
          <w:szCs w:val="24"/>
        </w:rPr>
      </w:pPr>
      <w:r w:rsidRPr="00CE5EB6">
        <w:rPr>
          <w:rStyle w:val="Strong"/>
          <w:b w:val="0"/>
          <w:sz w:val="24"/>
          <w:szCs w:val="24"/>
        </w:rPr>
        <w:t>Encourage Interdisciplinary Collaboration:</w:t>
      </w:r>
      <w:r w:rsidRPr="00CE5EB6">
        <w:rPr>
          <w:sz w:val="24"/>
          <w:szCs w:val="24"/>
        </w:rPr>
        <w:t xml:space="preserve"> Facilitate cooperation among students from different faculties to address societal and academic challenges.</w:t>
      </w:r>
    </w:p>
    <w:p w:rsidR="00CE5EB6" w:rsidRPr="00CE5EB6" w:rsidRDefault="00CE5EB6" w:rsidP="00CE5EB6">
      <w:pPr>
        <w:widowControl/>
        <w:numPr>
          <w:ilvl w:val="0"/>
          <w:numId w:val="1"/>
        </w:numPr>
        <w:autoSpaceDE/>
        <w:autoSpaceDN/>
        <w:jc w:val="both"/>
        <w:rPr>
          <w:sz w:val="24"/>
          <w:szCs w:val="24"/>
        </w:rPr>
      </w:pPr>
      <w:r w:rsidRPr="00CE5EB6">
        <w:rPr>
          <w:rStyle w:val="Strong"/>
          <w:b w:val="0"/>
          <w:sz w:val="24"/>
          <w:szCs w:val="24"/>
        </w:rPr>
        <w:t>Support Global and Community Outreach:</w:t>
      </w:r>
      <w:r w:rsidRPr="00CE5EB6">
        <w:rPr>
          <w:sz w:val="24"/>
          <w:szCs w:val="24"/>
        </w:rPr>
        <w:t xml:space="preserve"> Encourage projects that align with global trends, particularly in sustainable development and societal engagement.</w:t>
      </w:r>
    </w:p>
    <w:p w:rsidR="00CE5EB6" w:rsidRPr="00CA61F3" w:rsidRDefault="00CE5EB6" w:rsidP="00493224">
      <w:pPr>
        <w:widowControl/>
        <w:autoSpaceDE/>
        <w:autoSpaceDN/>
        <w:ind w:left="360"/>
        <w:jc w:val="both"/>
        <w:rPr>
          <w:sz w:val="24"/>
          <w:szCs w:val="24"/>
        </w:rPr>
      </w:pPr>
    </w:p>
    <w:p w:rsidR="00CE5EB6" w:rsidRPr="00CE5EB6" w:rsidRDefault="00CE5EB6" w:rsidP="00493224">
      <w:pPr>
        <w:pStyle w:val="Heading3"/>
        <w:rPr>
          <w:rStyle w:val="Strong"/>
          <w:color w:val="002060"/>
          <w:sz w:val="28"/>
        </w:rPr>
      </w:pPr>
      <w:bookmarkStart w:id="6" w:name="_Toc195023435"/>
      <w:r w:rsidRPr="00CE5EB6">
        <w:rPr>
          <w:rStyle w:val="Strong"/>
          <w:color w:val="002060"/>
          <w:sz w:val="28"/>
        </w:rPr>
        <w:t>Scope</w:t>
      </w:r>
      <w:bookmarkEnd w:id="6"/>
    </w:p>
    <w:p w:rsidR="00CE5EB6" w:rsidRPr="00AC13FC" w:rsidRDefault="00CE5EB6" w:rsidP="00CE5EB6">
      <w:pPr>
        <w:jc w:val="both"/>
      </w:pPr>
    </w:p>
    <w:p w:rsidR="00CE5EB6" w:rsidRPr="00CA61F3" w:rsidRDefault="00CE5EB6" w:rsidP="00CE5EB6">
      <w:pPr>
        <w:jc w:val="both"/>
        <w:rPr>
          <w:sz w:val="24"/>
          <w:szCs w:val="24"/>
        </w:rPr>
      </w:pPr>
      <w:r w:rsidRPr="00CA61F3">
        <w:rPr>
          <w:sz w:val="24"/>
          <w:szCs w:val="24"/>
        </w:rPr>
        <w:t>This policy applies to:</w:t>
      </w:r>
    </w:p>
    <w:p w:rsidR="00CE5EB6" w:rsidRPr="00CA61F3" w:rsidRDefault="00CE5EB6" w:rsidP="00CE5EB6">
      <w:pPr>
        <w:widowControl/>
        <w:numPr>
          <w:ilvl w:val="0"/>
          <w:numId w:val="2"/>
        </w:numPr>
        <w:autoSpaceDE/>
        <w:autoSpaceDN/>
        <w:jc w:val="both"/>
        <w:rPr>
          <w:sz w:val="24"/>
          <w:szCs w:val="24"/>
        </w:rPr>
      </w:pPr>
      <w:r w:rsidRPr="00CA61F3">
        <w:rPr>
          <w:sz w:val="24"/>
          <w:szCs w:val="24"/>
        </w:rPr>
        <w:t>All undergraduate and graduate students registered at AzTU.</w:t>
      </w:r>
    </w:p>
    <w:p w:rsidR="00CE5EB6" w:rsidRPr="00CA61F3" w:rsidRDefault="00CE5EB6" w:rsidP="00CE5EB6">
      <w:pPr>
        <w:widowControl/>
        <w:numPr>
          <w:ilvl w:val="0"/>
          <w:numId w:val="2"/>
        </w:numPr>
        <w:autoSpaceDE/>
        <w:autoSpaceDN/>
        <w:jc w:val="both"/>
        <w:rPr>
          <w:sz w:val="24"/>
          <w:szCs w:val="24"/>
        </w:rPr>
      </w:pPr>
      <w:r w:rsidRPr="00CA61F3">
        <w:rPr>
          <w:sz w:val="24"/>
          <w:szCs w:val="24"/>
        </w:rPr>
        <w:t>All faculties, research centers, and departments at AzTU.</w:t>
      </w:r>
    </w:p>
    <w:p w:rsidR="00CE5EB6" w:rsidRPr="00CA61F3" w:rsidRDefault="00CE5EB6" w:rsidP="00CE5EB6">
      <w:pPr>
        <w:widowControl/>
        <w:numPr>
          <w:ilvl w:val="0"/>
          <w:numId w:val="2"/>
        </w:numPr>
        <w:autoSpaceDE/>
        <w:autoSpaceDN/>
        <w:jc w:val="both"/>
        <w:rPr>
          <w:sz w:val="24"/>
          <w:szCs w:val="24"/>
        </w:rPr>
      </w:pPr>
      <w:r w:rsidRPr="00CA61F3">
        <w:rPr>
          <w:sz w:val="24"/>
          <w:szCs w:val="24"/>
        </w:rPr>
        <w:t>External collaborators, mentors, and sponsors involved in SILC-supported initiatives.</w:t>
      </w:r>
    </w:p>
    <w:p w:rsidR="00CE5EB6" w:rsidRDefault="00CE5EB6" w:rsidP="00CE5EB6">
      <w:pPr>
        <w:widowControl/>
        <w:numPr>
          <w:ilvl w:val="0"/>
          <w:numId w:val="2"/>
        </w:numPr>
        <w:autoSpaceDE/>
        <w:autoSpaceDN/>
        <w:jc w:val="both"/>
        <w:rPr>
          <w:sz w:val="24"/>
          <w:szCs w:val="24"/>
        </w:rPr>
      </w:pPr>
      <w:r w:rsidRPr="00CA61F3">
        <w:rPr>
          <w:sz w:val="24"/>
          <w:szCs w:val="24"/>
        </w:rPr>
        <w:t>Activities and events held within AzTU campuses and recognized off-campus events.</w:t>
      </w:r>
    </w:p>
    <w:p w:rsidR="00CE5EB6" w:rsidRPr="00AC13FC" w:rsidRDefault="00CE5EB6" w:rsidP="00CE5EB6">
      <w:pPr>
        <w:widowControl/>
        <w:autoSpaceDE/>
        <w:autoSpaceDN/>
        <w:jc w:val="both"/>
        <w:rPr>
          <w:sz w:val="24"/>
          <w:szCs w:val="24"/>
        </w:rPr>
      </w:pPr>
    </w:p>
    <w:p w:rsidR="00CE5EB6" w:rsidRPr="005920D2" w:rsidRDefault="00CE5EB6" w:rsidP="00493224">
      <w:pPr>
        <w:pStyle w:val="Heading4"/>
        <w:rPr>
          <w:rStyle w:val="Strong"/>
          <w:i w:val="0"/>
          <w:color w:val="002060"/>
          <w:sz w:val="24"/>
          <w:szCs w:val="24"/>
        </w:rPr>
      </w:pPr>
      <w:r w:rsidRPr="005920D2">
        <w:rPr>
          <w:rStyle w:val="Strong"/>
          <w:i w:val="0"/>
          <w:color w:val="002060"/>
          <w:sz w:val="28"/>
          <w:szCs w:val="24"/>
        </w:rPr>
        <w:t>Governance and Structure</w:t>
      </w:r>
    </w:p>
    <w:p w:rsidR="00CE5EB6" w:rsidRPr="00AC13FC" w:rsidRDefault="00CE5EB6" w:rsidP="00CE5EB6">
      <w:pPr>
        <w:jc w:val="both"/>
      </w:pPr>
    </w:p>
    <w:p w:rsidR="00CE5EB6" w:rsidRPr="005920D2" w:rsidRDefault="00CE5EB6" w:rsidP="00CE5EB6">
      <w:pPr>
        <w:jc w:val="both"/>
        <w:rPr>
          <w:sz w:val="24"/>
          <w:szCs w:val="24"/>
        </w:rPr>
      </w:pPr>
      <w:r w:rsidRPr="005920D2">
        <w:rPr>
          <w:rStyle w:val="Strong"/>
          <w:sz w:val="24"/>
          <w:szCs w:val="24"/>
        </w:rPr>
        <w:t>Governing Bodies</w:t>
      </w:r>
    </w:p>
    <w:p w:rsidR="00CE5EB6" w:rsidRPr="00CE5EB6" w:rsidRDefault="00CE5EB6" w:rsidP="00CE5EB6">
      <w:pPr>
        <w:jc w:val="both"/>
        <w:rPr>
          <w:sz w:val="24"/>
          <w:szCs w:val="24"/>
        </w:rPr>
      </w:pPr>
      <w:r w:rsidRPr="00CE5EB6">
        <w:rPr>
          <w:sz w:val="24"/>
          <w:szCs w:val="24"/>
        </w:rPr>
        <w:t>SILC is governed by the following bodies, inspired by best practices at leading universities:</w:t>
      </w:r>
    </w:p>
    <w:p w:rsidR="00CE5EB6" w:rsidRPr="00CE5EB6" w:rsidRDefault="00CE5EB6" w:rsidP="00CE5EB6">
      <w:pPr>
        <w:widowControl/>
        <w:numPr>
          <w:ilvl w:val="0"/>
          <w:numId w:val="3"/>
        </w:numPr>
        <w:autoSpaceDE/>
        <w:autoSpaceDN/>
        <w:jc w:val="both"/>
        <w:rPr>
          <w:sz w:val="24"/>
          <w:szCs w:val="24"/>
        </w:rPr>
      </w:pPr>
      <w:r w:rsidRPr="00CE5EB6">
        <w:rPr>
          <w:rStyle w:val="Strong"/>
          <w:b w:val="0"/>
          <w:sz w:val="24"/>
          <w:szCs w:val="24"/>
        </w:rPr>
        <w:t>General Assembly:</w:t>
      </w:r>
      <w:r w:rsidRPr="00CE5EB6">
        <w:rPr>
          <w:sz w:val="24"/>
          <w:szCs w:val="24"/>
        </w:rPr>
        <w:t xml:space="preserve"> The body consisting of all SILC members, which meets annually to approve major initiatives, elect leadership, and review progress.</w:t>
      </w:r>
    </w:p>
    <w:p w:rsidR="00CE5EB6" w:rsidRPr="00CE5EB6" w:rsidRDefault="00CE5EB6" w:rsidP="00CE5EB6">
      <w:pPr>
        <w:widowControl/>
        <w:numPr>
          <w:ilvl w:val="0"/>
          <w:numId w:val="3"/>
        </w:numPr>
        <w:autoSpaceDE/>
        <w:autoSpaceDN/>
        <w:jc w:val="both"/>
        <w:rPr>
          <w:sz w:val="24"/>
          <w:szCs w:val="24"/>
        </w:rPr>
      </w:pPr>
      <w:r w:rsidRPr="00CE5EB6">
        <w:rPr>
          <w:rStyle w:val="Strong"/>
          <w:b w:val="0"/>
          <w:sz w:val="24"/>
          <w:szCs w:val="24"/>
        </w:rPr>
        <w:t>Administrative Board:</w:t>
      </w:r>
      <w:r w:rsidRPr="00CE5EB6">
        <w:rPr>
          <w:sz w:val="24"/>
          <w:szCs w:val="24"/>
        </w:rPr>
        <w:t xml:space="preserve"> A group of elected student representatives who manage the day-to-day operations, oversee club activities, and ensure the alignment of projects with SILC’s mission.</w:t>
      </w:r>
    </w:p>
    <w:p w:rsidR="00CE5EB6" w:rsidRPr="00CE5EB6" w:rsidRDefault="00CE5EB6" w:rsidP="00CE5EB6">
      <w:pPr>
        <w:widowControl/>
        <w:numPr>
          <w:ilvl w:val="0"/>
          <w:numId w:val="3"/>
        </w:numPr>
        <w:autoSpaceDE/>
        <w:autoSpaceDN/>
        <w:jc w:val="both"/>
        <w:rPr>
          <w:sz w:val="24"/>
          <w:szCs w:val="24"/>
        </w:rPr>
      </w:pPr>
      <w:r w:rsidRPr="00CE5EB6">
        <w:rPr>
          <w:rStyle w:val="Strong"/>
          <w:b w:val="0"/>
          <w:sz w:val="24"/>
          <w:szCs w:val="24"/>
        </w:rPr>
        <w:t>Supervisory Board:</w:t>
      </w:r>
      <w:r w:rsidRPr="00CE5EB6">
        <w:rPr>
          <w:sz w:val="24"/>
          <w:szCs w:val="24"/>
        </w:rPr>
        <w:t xml:space="preserve"> Composed of faculty advisors and administrators, this board ensures compliance with university regulations and supports long-term sustainability.</w:t>
      </w:r>
    </w:p>
    <w:p w:rsidR="00CE5EB6" w:rsidRPr="00CE5EB6" w:rsidRDefault="00CE5EB6" w:rsidP="00CE5EB6">
      <w:pPr>
        <w:jc w:val="both"/>
        <w:rPr>
          <w:sz w:val="24"/>
          <w:szCs w:val="24"/>
        </w:rPr>
      </w:pPr>
      <w:r w:rsidRPr="005920D2">
        <w:rPr>
          <w:rStyle w:val="Strong"/>
          <w:sz w:val="24"/>
          <w:szCs w:val="24"/>
        </w:rPr>
        <w:t>Membership</w:t>
      </w:r>
    </w:p>
    <w:p w:rsidR="00CE5EB6" w:rsidRPr="00CE5EB6" w:rsidRDefault="00CE5EB6" w:rsidP="00CE5EB6">
      <w:pPr>
        <w:widowControl/>
        <w:numPr>
          <w:ilvl w:val="0"/>
          <w:numId w:val="4"/>
        </w:numPr>
        <w:autoSpaceDE/>
        <w:autoSpaceDN/>
        <w:jc w:val="both"/>
        <w:rPr>
          <w:sz w:val="24"/>
          <w:szCs w:val="24"/>
        </w:rPr>
      </w:pPr>
      <w:r w:rsidRPr="00CE5EB6">
        <w:rPr>
          <w:rStyle w:val="Strong"/>
          <w:b w:val="0"/>
          <w:sz w:val="24"/>
          <w:szCs w:val="24"/>
        </w:rPr>
        <w:t>Eligibility:</w:t>
      </w:r>
      <w:r w:rsidRPr="00CE5EB6">
        <w:rPr>
          <w:sz w:val="24"/>
          <w:szCs w:val="24"/>
        </w:rPr>
        <w:t xml:space="preserve"> All registered AzTU students are eligible to participate.</w:t>
      </w:r>
    </w:p>
    <w:p w:rsidR="00CE5EB6" w:rsidRPr="00493224" w:rsidRDefault="00CE5EB6" w:rsidP="00CE5EB6">
      <w:pPr>
        <w:widowControl/>
        <w:numPr>
          <w:ilvl w:val="0"/>
          <w:numId w:val="4"/>
        </w:numPr>
        <w:autoSpaceDE/>
        <w:autoSpaceDN/>
        <w:jc w:val="both"/>
        <w:rPr>
          <w:rStyle w:val="Strong"/>
          <w:b w:val="0"/>
          <w:bCs w:val="0"/>
          <w:sz w:val="24"/>
          <w:szCs w:val="24"/>
        </w:rPr>
      </w:pPr>
      <w:r w:rsidRPr="00CE5EB6">
        <w:rPr>
          <w:rStyle w:val="Strong"/>
          <w:b w:val="0"/>
          <w:sz w:val="24"/>
          <w:szCs w:val="24"/>
        </w:rPr>
        <w:t>Leadership Roles:</w:t>
      </w:r>
      <w:r w:rsidRPr="00CE5EB6">
        <w:rPr>
          <w:sz w:val="24"/>
          <w:szCs w:val="24"/>
        </w:rPr>
        <w:t xml:space="preserve"> Students are elected to leadership positions within SILC on an annual basis, with roles such as President, Vice President, Secretary, and Treasurer.</w:t>
      </w:r>
    </w:p>
    <w:p w:rsidR="005920D2" w:rsidRDefault="005920D2" w:rsidP="005920D2">
      <w:pPr>
        <w:pStyle w:val="Heading1"/>
        <w:rPr>
          <w:rStyle w:val="Strong"/>
          <w:color w:val="002060"/>
          <w:szCs w:val="24"/>
        </w:rPr>
      </w:pPr>
    </w:p>
    <w:p w:rsidR="00CE5EB6" w:rsidRPr="005920D2" w:rsidRDefault="00CE5EB6" w:rsidP="005920D2">
      <w:pPr>
        <w:pStyle w:val="Heading1"/>
        <w:rPr>
          <w:rStyle w:val="Strong"/>
          <w:b/>
          <w:color w:val="002060"/>
          <w:szCs w:val="24"/>
        </w:rPr>
      </w:pPr>
      <w:bookmarkStart w:id="7" w:name="_Toc195023436"/>
      <w:r w:rsidRPr="005920D2">
        <w:rPr>
          <w:rStyle w:val="Strong"/>
          <w:b/>
          <w:color w:val="002060"/>
          <w:szCs w:val="24"/>
        </w:rPr>
        <w:lastRenderedPageBreak/>
        <w:t>Responsibilities</w:t>
      </w:r>
      <w:bookmarkEnd w:id="7"/>
    </w:p>
    <w:p w:rsidR="00CE5EB6" w:rsidRPr="00CE5EB6" w:rsidRDefault="00CE5EB6" w:rsidP="00CE5EB6">
      <w:pPr>
        <w:jc w:val="both"/>
        <w:rPr>
          <w:color w:val="002060"/>
        </w:rPr>
      </w:pPr>
    </w:p>
    <w:p w:rsidR="00CE5EB6" w:rsidRPr="00CE5EB6" w:rsidRDefault="00CE5EB6" w:rsidP="00CE5EB6">
      <w:pPr>
        <w:widowControl/>
        <w:numPr>
          <w:ilvl w:val="0"/>
          <w:numId w:val="5"/>
        </w:numPr>
        <w:autoSpaceDE/>
        <w:autoSpaceDN/>
        <w:jc w:val="both"/>
        <w:rPr>
          <w:sz w:val="24"/>
          <w:szCs w:val="24"/>
        </w:rPr>
      </w:pPr>
      <w:r w:rsidRPr="00CE5EB6">
        <w:rPr>
          <w:rStyle w:val="Strong"/>
          <w:b w:val="0"/>
          <w:sz w:val="24"/>
          <w:szCs w:val="24"/>
        </w:rPr>
        <w:t>SILC Executive Board</w:t>
      </w:r>
      <w:r w:rsidRPr="00CE5EB6">
        <w:rPr>
          <w:rStyle w:val="Strong"/>
          <w:sz w:val="24"/>
          <w:szCs w:val="24"/>
        </w:rPr>
        <w:t>:</w:t>
      </w:r>
      <w:r w:rsidRPr="00CE5EB6">
        <w:rPr>
          <w:sz w:val="24"/>
          <w:szCs w:val="24"/>
        </w:rPr>
        <w:t>Oversees the organization’s strategic direction, provides mentorship to club leaders, and ensures proper coordination between SILC clubs and the university administration.</w:t>
      </w:r>
    </w:p>
    <w:p w:rsidR="00CE5EB6" w:rsidRPr="00CE5EB6" w:rsidRDefault="00CE5EB6" w:rsidP="00CE5EB6">
      <w:pPr>
        <w:widowControl/>
        <w:numPr>
          <w:ilvl w:val="0"/>
          <w:numId w:val="5"/>
        </w:numPr>
        <w:autoSpaceDE/>
        <w:autoSpaceDN/>
        <w:jc w:val="both"/>
        <w:rPr>
          <w:sz w:val="24"/>
          <w:szCs w:val="24"/>
        </w:rPr>
      </w:pPr>
      <w:r w:rsidRPr="00CE5EB6">
        <w:rPr>
          <w:rStyle w:val="Strong"/>
          <w:b w:val="0"/>
          <w:sz w:val="24"/>
          <w:szCs w:val="24"/>
        </w:rPr>
        <w:t>Faculty Advisors:</w:t>
      </w:r>
      <w:r w:rsidRPr="00CE5EB6">
        <w:rPr>
          <w:sz w:val="24"/>
          <w:szCs w:val="24"/>
        </w:rPr>
        <w:t xml:space="preserve"> Faculty members provide academic guidance and ensure that SILC projects align with the university’s educational and research goals.</w:t>
      </w:r>
    </w:p>
    <w:p w:rsidR="00CE5EB6" w:rsidRPr="00CE5EB6" w:rsidRDefault="00CE5EB6" w:rsidP="00CE5EB6">
      <w:pPr>
        <w:widowControl/>
        <w:numPr>
          <w:ilvl w:val="0"/>
          <w:numId w:val="5"/>
        </w:numPr>
        <w:autoSpaceDE/>
        <w:autoSpaceDN/>
        <w:jc w:val="both"/>
        <w:rPr>
          <w:sz w:val="24"/>
          <w:szCs w:val="24"/>
        </w:rPr>
      </w:pPr>
      <w:r w:rsidRPr="00CE5EB6">
        <w:rPr>
          <w:rStyle w:val="Strong"/>
          <w:b w:val="0"/>
          <w:sz w:val="24"/>
          <w:szCs w:val="24"/>
        </w:rPr>
        <w:t>Office of Student Affairs &amp; Quality Assurance Department</w:t>
      </w:r>
      <w:r w:rsidRPr="00CE5EB6">
        <w:rPr>
          <w:rStyle w:val="Strong"/>
          <w:sz w:val="24"/>
          <w:szCs w:val="24"/>
        </w:rPr>
        <w:t>:</w:t>
      </w:r>
      <w:r w:rsidRPr="00CE5EB6">
        <w:rPr>
          <w:sz w:val="24"/>
          <w:szCs w:val="24"/>
        </w:rPr>
        <w:t xml:space="preserve"> Ensure that SILC activities comply with university policies, assist with the planning and execution of events, and monitor overall performance.</w:t>
      </w:r>
    </w:p>
    <w:p w:rsidR="00CE5EB6" w:rsidRPr="00CE5EB6" w:rsidRDefault="00CE5EB6" w:rsidP="00CE5EB6">
      <w:pPr>
        <w:widowControl/>
        <w:numPr>
          <w:ilvl w:val="0"/>
          <w:numId w:val="5"/>
        </w:numPr>
        <w:autoSpaceDE/>
        <w:autoSpaceDN/>
        <w:jc w:val="both"/>
        <w:rPr>
          <w:sz w:val="24"/>
          <w:szCs w:val="24"/>
        </w:rPr>
      </w:pPr>
      <w:r w:rsidRPr="00CE5EB6">
        <w:rPr>
          <w:rStyle w:val="Strong"/>
          <w:b w:val="0"/>
          <w:sz w:val="24"/>
          <w:szCs w:val="24"/>
        </w:rPr>
        <w:t>Club Members &amp; Leaders</w:t>
      </w:r>
      <w:r w:rsidRPr="00CE5EB6">
        <w:rPr>
          <w:rStyle w:val="Strong"/>
          <w:sz w:val="24"/>
          <w:szCs w:val="24"/>
        </w:rPr>
        <w:t>:</w:t>
      </w:r>
      <w:r w:rsidRPr="00CE5EB6">
        <w:rPr>
          <w:sz w:val="24"/>
          <w:szCs w:val="24"/>
        </w:rPr>
        <w:t xml:space="preserve"> Responsible for executing approved projects, reporting activities, and adhering to university rules and guidelines.</w:t>
      </w:r>
    </w:p>
    <w:p w:rsidR="005920D2" w:rsidRDefault="005920D2" w:rsidP="005920D2">
      <w:pPr>
        <w:pStyle w:val="Heading1"/>
        <w:rPr>
          <w:rStyle w:val="Strong"/>
          <w:color w:val="002060"/>
          <w:szCs w:val="24"/>
        </w:rPr>
      </w:pPr>
    </w:p>
    <w:p w:rsidR="00CE5EB6" w:rsidRPr="005920D2" w:rsidRDefault="00CE5EB6" w:rsidP="005920D2">
      <w:pPr>
        <w:pStyle w:val="Heading1"/>
        <w:rPr>
          <w:rStyle w:val="Strong"/>
          <w:b/>
          <w:color w:val="002060"/>
          <w:sz w:val="24"/>
          <w:szCs w:val="24"/>
        </w:rPr>
      </w:pPr>
      <w:bookmarkStart w:id="8" w:name="_Toc195023437"/>
      <w:r w:rsidRPr="005920D2">
        <w:rPr>
          <w:rStyle w:val="Strong"/>
          <w:b/>
          <w:color w:val="002060"/>
          <w:szCs w:val="24"/>
        </w:rPr>
        <w:t>Procedures</w:t>
      </w:r>
      <w:bookmarkEnd w:id="8"/>
    </w:p>
    <w:p w:rsidR="00CE5EB6" w:rsidRPr="00CE5EB6" w:rsidRDefault="00CE5EB6" w:rsidP="00CE5EB6">
      <w:pPr>
        <w:jc w:val="both"/>
        <w:rPr>
          <w:color w:val="002060"/>
        </w:rPr>
      </w:pPr>
    </w:p>
    <w:p w:rsidR="00CE5EB6" w:rsidRPr="00CA61F3" w:rsidRDefault="00CE5EB6" w:rsidP="00CE5EB6">
      <w:pPr>
        <w:jc w:val="both"/>
        <w:rPr>
          <w:sz w:val="24"/>
          <w:szCs w:val="24"/>
        </w:rPr>
      </w:pPr>
      <w:r w:rsidRPr="00CA61F3">
        <w:rPr>
          <w:rStyle w:val="Strong"/>
          <w:sz w:val="24"/>
          <w:szCs w:val="24"/>
        </w:rPr>
        <w:t>Club Establishment</w:t>
      </w:r>
    </w:p>
    <w:p w:rsidR="00CE5EB6" w:rsidRPr="00CA61F3" w:rsidRDefault="00CE5EB6" w:rsidP="00CE5EB6">
      <w:pPr>
        <w:jc w:val="both"/>
        <w:rPr>
          <w:sz w:val="24"/>
          <w:szCs w:val="24"/>
        </w:rPr>
      </w:pPr>
      <w:r w:rsidRPr="00CA61F3">
        <w:rPr>
          <w:sz w:val="24"/>
          <w:szCs w:val="24"/>
        </w:rPr>
        <w:t>SILC clubs are formed to focus on specific areas of interest and innovation. The process for establishing a new club is as follows:</w:t>
      </w:r>
    </w:p>
    <w:p w:rsidR="00CE5EB6" w:rsidRPr="00CA61F3" w:rsidRDefault="00CE5EB6" w:rsidP="00CE5EB6">
      <w:pPr>
        <w:widowControl/>
        <w:numPr>
          <w:ilvl w:val="0"/>
          <w:numId w:val="6"/>
        </w:numPr>
        <w:autoSpaceDE/>
        <w:autoSpaceDN/>
        <w:jc w:val="both"/>
        <w:rPr>
          <w:sz w:val="24"/>
          <w:szCs w:val="24"/>
        </w:rPr>
      </w:pPr>
      <w:r w:rsidRPr="00CE5EB6">
        <w:rPr>
          <w:rStyle w:val="Strong"/>
          <w:b w:val="0"/>
          <w:sz w:val="24"/>
          <w:szCs w:val="24"/>
        </w:rPr>
        <w:t>Proposal Submission:</w:t>
      </w:r>
      <w:r w:rsidRPr="00CA61F3">
        <w:rPr>
          <w:sz w:val="24"/>
          <w:szCs w:val="24"/>
        </w:rPr>
        <w:t xml:space="preserve"> Students submit a proposal for a new club, including a mission statement, objectives, and a plan for activities.</w:t>
      </w:r>
    </w:p>
    <w:p w:rsidR="00CE5EB6" w:rsidRPr="00CA61F3" w:rsidRDefault="00CE5EB6" w:rsidP="00CE5EB6">
      <w:pPr>
        <w:widowControl/>
        <w:numPr>
          <w:ilvl w:val="0"/>
          <w:numId w:val="6"/>
        </w:numPr>
        <w:autoSpaceDE/>
        <w:autoSpaceDN/>
        <w:jc w:val="both"/>
        <w:rPr>
          <w:sz w:val="24"/>
          <w:szCs w:val="24"/>
        </w:rPr>
      </w:pPr>
      <w:r w:rsidRPr="00CE5EB6">
        <w:rPr>
          <w:rStyle w:val="Strong"/>
          <w:b w:val="0"/>
          <w:sz w:val="24"/>
          <w:szCs w:val="24"/>
        </w:rPr>
        <w:t>Approval Process:</w:t>
      </w:r>
      <w:r w:rsidRPr="00CA61F3">
        <w:rPr>
          <w:sz w:val="24"/>
          <w:szCs w:val="24"/>
        </w:rPr>
        <w:t xml:space="preserve"> The Administrative Board reviews the proposals and approves or requests modifications.</w:t>
      </w:r>
    </w:p>
    <w:p w:rsidR="00CE5EB6" w:rsidRPr="00CA61F3" w:rsidRDefault="00CE5EB6" w:rsidP="00CE5EB6">
      <w:pPr>
        <w:widowControl/>
        <w:numPr>
          <w:ilvl w:val="0"/>
          <w:numId w:val="6"/>
        </w:numPr>
        <w:autoSpaceDE/>
        <w:autoSpaceDN/>
        <w:jc w:val="both"/>
        <w:rPr>
          <w:sz w:val="24"/>
          <w:szCs w:val="24"/>
        </w:rPr>
      </w:pPr>
      <w:r w:rsidRPr="00CE5EB6">
        <w:rPr>
          <w:rStyle w:val="Strong"/>
          <w:b w:val="0"/>
          <w:sz w:val="24"/>
          <w:szCs w:val="24"/>
        </w:rPr>
        <w:t>Club Formation:</w:t>
      </w:r>
      <w:r w:rsidRPr="00CA61F3">
        <w:rPr>
          <w:sz w:val="24"/>
          <w:szCs w:val="24"/>
        </w:rPr>
        <w:t xml:space="preserve"> Once approved, clubs are officially recognized and granted access to university resources such as meeting spaces, event funding, and mentorship.</w:t>
      </w:r>
    </w:p>
    <w:p w:rsidR="00CE5EB6" w:rsidRPr="00CA61F3" w:rsidRDefault="00CE5EB6" w:rsidP="00CE5EB6">
      <w:pPr>
        <w:jc w:val="both"/>
        <w:rPr>
          <w:sz w:val="24"/>
          <w:szCs w:val="24"/>
        </w:rPr>
      </w:pPr>
      <w:r w:rsidRPr="00CA61F3">
        <w:rPr>
          <w:rStyle w:val="Strong"/>
          <w:sz w:val="24"/>
          <w:szCs w:val="24"/>
        </w:rPr>
        <w:t>Event Planning &amp; Execution</w:t>
      </w:r>
    </w:p>
    <w:p w:rsidR="00CE5EB6" w:rsidRPr="00CA61F3" w:rsidRDefault="00CE5EB6" w:rsidP="00CE5EB6">
      <w:pPr>
        <w:jc w:val="both"/>
        <w:rPr>
          <w:sz w:val="24"/>
          <w:szCs w:val="24"/>
        </w:rPr>
      </w:pPr>
      <w:r w:rsidRPr="00CA61F3">
        <w:rPr>
          <w:sz w:val="24"/>
          <w:szCs w:val="24"/>
        </w:rPr>
        <w:t>Clubs may organize events, workshops, and projects in alignment with their objectives. The process for event planning and approval is as follows:</w:t>
      </w:r>
    </w:p>
    <w:p w:rsidR="00CE5EB6" w:rsidRPr="00CA61F3" w:rsidRDefault="00CE5EB6" w:rsidP="00CE5EB6">
      <w:pPr>
        <w:widowControl/>
        <w:numPr>
          <w:ilvl w:val="0"/>
          <w:numId w:val="7"/>
        </w:numPr>
        <w:autoSpaceDE/>
        <w:autoSpaceDN/>
        <w:jc w:val="both"/>
        <w:rPr>
          <w:sz w:val="24"/>
          <w:szCs w:val="24"/>
        </w:rPr>
      </w:pPr>
      <w:r w:rsidRPr="00CE5EB6">
        <w:rPr>
          <w:rStyle w:val="Strong"/>
          <w:b w:val="0"/>
          <w:sz w:val="24"/>
          <w:szCs w:val="24"/>
        </w:rPr>
        <w:t>Event Proposal Submission:</w:t>
      </w:r>
      <w:r w:rsidRPr="00CA61F3">
        <w:rPr>
          <w:sz w:val="24"/>
          <w:szCs w:val="24"/>
        </w:rPr>
        <w:t xml:space="preserve"> A detailed event proposal, including objectives, budget, and guest speakers, is submitted to the SILC Executive Board.</w:t>
      </w:r>
    </w:p>
    <w:p w:rsidR="00CE5EB6" w:rsidRPr="00CA61F3" w:rsidRDefault="00CE5EB6" w:rsidP="00CE5EB6">
      <w:pPr>
        <w:widowControl/>
        <w:numPr>
          <w:ilvl w:val="0"/>
          <w:numId w:val="7"/>
        </w:numPr>
        <w:autoSpaceDE/>
        <w:autoSpaceDN/>
        <w:jc w:val="both"/>
        <w:rPr>
          <w:sz w:val="24"/>
          <w:szCs w:val="24"/>
        </w:rPr>
      </w:pPr>
      <w:r w:rsidRPr="00CE5EB6">
        <w:rPr>
          <w:rStyle w:val="Strong"/>
          <w:b w:val="0"/>
          <w:sz w:val="24"/>
          <w:szCs w:val="24"/>
        </w:rPr>
        <w:t>Event Approval:</w:t>
      </w:r>
      <w:r w:rsidRPr="00CA61F3">
        <w:rPr>
          <w:sz w:val="24"/>
          <w:szCs w:val="24"/>
        </w:rPr>
        <w:t xml:space="preserve"> Upon approval, the event is scheduled, and promotional activities are planned.</w:t>
      </w:r>
    </w:p>
    <w:p w:rsidR="00CE5EB6" w:rsidRPr="00CA61F3" w:rsidRDefault="00CE5EB6" w:rsidP="00CE5EB6">
      <w:pPr>
        <w:widowControl/>
        <w:numPr>
          <w:ilvl w:val="0"/>
          <w:numId w:val="7"/>
        </w:numPr>
        <w:autoSpaceDE/>
        <w:autoSpaceDN/>
        <w:jc w:val="both"/>
        <w:rPr>
          <w:sz w:val="24"/>
          <w:szCs w:val="24"/>
        </w:rPr>
      </w:pPr>
      <w:r w:rsidRPr="00CE5EB6">
        <w:rPr>
          <w:rStyle w:val="Strong"/>
          <w:b w:val="0"/>
          <w:sz w:val="24"/>
          <w:szCs w:val="24"/>
        </w:rPr>
        <w:t>Execution:</w:t>
      </w:r>
      <w:r w:rsidRPr="00CA61F3">
        <w:rPr>
          <w:sz w:val="24"/>
          <w:szCs w:val="24"/>
        </w:rPr>
        <w:t xml:space="preserve"> The club implements the event, ensuring it aligns with SILC’s mission and university regulations.</w:t>
      </w:r>
    </w:p>
    <w:p w:rsidR="00CE5EB6" w:rsidRPr="00CA61F3" w:rsidRDefault="00CE5EB6" w:rsidP="00CE5EB6">
      <w:pPr>
        <w:jc w:val="both"/>
        <w:rPr>
          <w:sz w:val="24"/>
          <w:szCs w:val="24"/>
        </w:rPr>
      </w:pPr>
      <w:r w:rsidRPr="00CA61F3">
        <w:rPr>
          <w:rStyle w:val="Strong"/>
          <w:sz w:val="24"/>
          <w:szCs w:val="24"/>
        </w:rPr>
        <w:t>Funding and Sponsorships</w:t>
      </w:r>
    </w:p>
    <w:p w:rsidR="00CE5EB6" w:rsidRPr="00CA61F3" w:rsidRDefault="00CE5EB6" w:rsidP="00CE5EB6">
      <w:pPr>
        <w:jc w:val="both"/>
        <w:rPr>
          <w:sz w:val="24"/>
          <w:szCs w:val="24"/>
        </w:rPr>
      </w:pPr>
      <w:r w:rsidRPr="00CA61F3">
        <w:rPr>
          <w:sz w:val="24"/>
          <w:szCs w:val="24"/>
        </w:rPr>
        <w:t>Clubs may request funding or sponsorships to support their events or activities. The process is as follows:</w:t>
      </w:r>
    </w:p>
    <w:p w:rsidR="00CE5EB6" w:rsidRPr="00CA61F3" w:rsidRDefault="00CE5EB6" w:rsidP="00CE5EB6">
      <w:pPr>
        <w:widowControl/>
        <w:numPr>
          <w:ilvl w:val="0"/>
          <w:numId w:val="8"/>
        </w:numPr>
        <w:autoSpaceDE/>
        <w:autoSpaceDN/>
        <w:jc w:val="both"/>
        <w:rPr>
          <w:sz w:val="24"/>
          <w:szCs w:val="24"/>
        </w:rPr>
      </w:pPr>
      <w:r w:rsidRPr="00CE5EB6">
        <w:rPr>
          <w:rStyle w:val="Strong"/>
          <w:b w:val="0"/>
          <w:sz w:val="24"/>
          <w:szCs w:val="24"/>
        </w:rPr>
        <w:t>Sponsorship Agreement</w:t>
      </w:r>
      <w:r w:rsidRPr="00CA61F3">
        <w:rPr>
          <w:rStyle w:val="Strong"/>
          <w:sz w:val="24"/>
          <w:szCs w:val="24"/>
        </w:rPr>
        <w:t>:</w:t>
      </w:r>
      <w:r w:rsidRPr="00CA61F3">
        <w:rPr>
          <w:sz w:val="24"/>
          <w:szCs w:val="24"/>
        </w:rPr>
        <w:t xml:space="preserve"> External sponsors must sign an agreement outlining the terms of their support.</w:t>
      </w:r>
    </w:p>
    <w:p w:rsidR="00CE5EB6" w:rsidRDefault="00CE5EB6" w:rsidP="00CE5EB6">
      <w:pPr>
        <w:widowControl/>
        <w:numPr>
          <w:ilvl w:val="0"/>
          <w:numId w:val="8"/>
        </w:numPr>
        <w:autoSpaceDE/>
        <w:autoSpaceDN/>
        <w:jc w:val="both"/>
        <w:rPr>
          <w:sz w:val="24"/>
          <w:szCs w:val="24"/>
        </w:rPr>
      </w:pPr>
      <w:r w:rsidRPr="00CE5EB6">
        <w:rPr>
          <w:rStyle w:val="Strong"/>
          <w:b w:val="0"/>
          <w:sz w:val="24"/>
          <w:szCs w:val="24"/>
        </w:rPr>
        <w:t>Funding Requests:</w:t>
      </w:r>
      <w:r w:rsidRPr="00CA61F3">
        <w:rPr>
          <w:sz w:val="24"/>
          <w:szCs w:val="24"/>
        </w:rPr>
        <w:t xml:space="preserve"> Clubs can apply for financial assistance from SILC or seek external sponsors with prior approval.</w:t>
      </w:r>
    </w:p>
    <w:p w:rsidR="00CE5EB6" w:rsidRPr="00AC13FC" w:rsidRDefault="00CE5EB6" w:rsidP="00CE5EB6">
      <w:pPr>
        <w:widowControl/>
        <w:autoSpaceDE/>
        <w:autoSpaceDN/>
        <w:jc w:val="both"/>
        <w:rPr>
          <w:sz w:val="24"/>
          <w:szCs w:val="24"/>
        </w:rPr>
      </w:pPr>
    </w:p>
    <w:p w:rsidR="00CE5EB6" w:rsidRPr="005920D2" w:rsidRDefault="00CE5EB6" w:rsidP="005920D2">
      <w:pPr>
        <w:pStyle w:val="Heading1"/>
        <w:rPr>
          <w:rStyle w:val="Strong"/>
          <w:b/>
          <w:szCs w:val="24"/>
        </w:rPr>
      </w:pPr>
      <w:bookmarkStart w:id="9" w:name="_Toc195023438"/>
      <w:r w:rsidRPr="005920D2">
        <w:rPr>
          <w:rStyle w:val="Strong"/>
          <w:b/>
          <w:color w:val="002060"/>
          <w:szCs w:val="24"/>
        </w:rPr>
        <w:t>Clubs and Divisions</w:t>
      </w:r>
      <w:bookmarkEnd w:id="9"/>
    </w:p>
    <w:p w:rsidR="00CE5EB6" w:rsidRPr="00AC13FC" w:rsidRDefault="00CE5EB6" w:rsidP="00CE5EB6">
      <w:pPr>
        <w:jc w:val="both"/>
      </w:pPr>
    </w:p>
    <w:p w:rsidR="00CE5EB6" w:rsidRPr="00CA61F3" w:rsidRDefault="00CE5EB6" w:rsidP="00CE5EB6">
      <w:pPr>
        <w:jc w:val="both"/>
        <w:rPr>
          <w:sz w:val="24"/>
          <w:szCs w:val="24"/>
        </w:rPr>
      </w:pPr>
      <w:r w:rsidRPr="00CA61F3">
        <w:rPr>
          <w:sz w:val="24"/>
          <w:szCs w:val="24"/>
        </w:rPr>
        <w:t>SILC operates through several thematic clubs:</w:t>
      </w:r>
    </w:p>
    <w:p w:rsidR="00CE5EB6" w:rsidRPr="00CE5EB6" w:rsidRDefault="00CE5EB6" w:rsidP="00CE5EB6">
      <w:pPr>
        <w:widowControl/>
        <w:numPr>
          <w:ilvl w:val="0"/>
          <w:numId w:val="9"/>
        </w:numPr>
        <w:autoSpaceDE/>
        <w:autoSpaceDN/>
        <w:jc w:val="both"/>
        <w:rPr>
          <w:rStyle w:val="Strong"/>
          <w:b w:val="0"/>
          <w:bCs w:val="0"/>
          <w:sz w:val="24"/>
          <w:szCs w:val="24"/>
        </w:rPr>
      </w:pPr>
      <w:r w:rsidRPr="00CE5EB6">
        <w:rPr>
          <w:rStyle w:val="Strong"/>
          <w:b w:val="0"/>
          <w:sz w:val="24"/>
          <w:szCs w:val="24"/>
        </w:rPr>
        <w:t>Technology and Innovation Club</w:t>
      </w:r>
    </w:p>
    <w:p w:rsidR="00CE5EB6" w:rsidRPr="00CE5EB6" w:rsidRDefault="00CE5EB6" w:rsidP="00CE5EB6">
      <w:pPr>
        <w:ind w:left="720"/>
        <w:jc w:val="both"/>
        <w:rPr>
          <w:sz w:val="24"/>
          <w:szCs w:val="24"/>
        </w:rPr>
      </w:pPr>
      <w:r w:rsidRPr="00CE5EB6">
        <w:rPr>
          <w:sz w:val="24"/>
          <w:szCs w:val="24"/>
        </w:rPr>
        <w:t>Focuses on projects in robotics, artificial intelligence, and software development.</w:t>
      </w:r>
    </w:p>
    <w:p w:rsidR="00CE5EB6" w:rsidRPr="00CE5EB6" w:rsidRDefault="00CE5EB6" w:rsidP="00CE5EB6">
      <w:pPr>
        <w:widowControl/>
        <w:numPr>
          <w:ilvl w:val="0"/>
          <w:numId w:val="9"/>
        </w:numPr>
        <w:autoSpaceDE/>
        <w:autoSpaceDN/>
        <w:jc w:val="both"/>
        <w:rPr>
          <w:rStyle w:val="Strong"/>
          <w:b w:val="0"/>
          <w:bCs w:val="0"/>
          <w:sz w:val="24"/>
          <w:szCs w:val="24"/>
        </w:rPr>
      </w:pPr>
      <w:r w:rsidRPr="00CE5EB6">
        <w:rPr>
          <w:rStyle w:val="Strong"/>
          <w:b w:val="0"/>
          <w:sz w:val="24"/>
          <w:szCs w:val="24"/>
        </w:rPr>
        <w:lastRenderedPageBreak/>
        <w:t>Entrepreneurship Club</w:t>
      </w:r>
    </w:p>
    <w:p w:rsidR="00CE5EB6" w:rsidRPr="00CE5EB6" w:rsidRDefault="00CE5EB6" w:rsidP="00CE5EB6">
      <w:pPr>
        <w:ind w:left="720"/>
        <w:jc w:val="both"/>
        <w:rPr>
          <w:sz w:val="24"/>
          <w:szCs w:val="24"/>
        </w:rPr>
      </w:pPr>
      <w:r w:rsidRPr="00CE5EB6">
        <w:rPr>
          <w:sz w:val="24"/>
          <w:szCs w:val="24"/>
        </w:rPr>
        <w:t>Supports the development of startups and entrepreneurship initiatives.</w:t>
      </w:r>
    </w:p>
    <w:p w:rsidR="00CE5EB6" w:rsidRPr="00CE5EB6" w:rsidRDefault="00CE5EB6" w:rsidP="00CE5EB6">
      <w:pPr>
        <w:widowControl/>
        <w:numPr>
          <w:ilvl w:val="0"/>
          <w:numId w:val="9"/>
        </w:numPr>
        <w:autoSpaceDE/>
        <w:autoSpaceDN/>
        <w:jc w:val="both"/>
        <w:rPr>
          <w:rStyle w:val="Strong"/>
          <w:b w:val="0"/>
          <w:bCs w:val="0"/>
          <w:sz w:val="24"/>
          <w:szCs w:val="24"/>
        </w:rPr>
      </w:pPr>
      <w:r w:rsidRPr="00CE5EB6">
        <w:rPr>
          <w:rStyle w:val="Strong"/>
          <w:b w:val="0"/>
          <w:sz w:val="24"/>
          <w:szCs w:val="24"/>
        </w:rPr>
        <w:t>Research and Academic Club</w:t>
      </w:r>
    </w:p>
    <w:p w:rsidR="00CE5EB6" w:rsidRPr="00CE5EB6" w:rsidRDefault="00CE5EB6" w:rsidP="00CE5EB6">
      <w:pPr>
        <w:widowControl/>
        <w:numPr>
          <w:ilvl w:val="0"/>
          <w:numId w:val="9"/>
        </w:numPr>
        <w:autoSpaceDE/>
        <w:autoSpaceDN/>
        <w:jc w:val="both"/>
        <w:rPr>
          <w:sz w:val="24"/>
          <w:szCs w:val="24"/>
        </w:rPr>
      </w:pPr>
      <w:r w:rsidRPr="00CE5EB6">
        <w:rPr>
          <w:sz w:val="24"/>
          <w:szCs w:val="24"/>
        </w:rPr>
        <w:t>Promotes academic research, writing skills, and interdisciplinary research projects.</w:t>
      </w:r>
    </w:p>
    <w:p w:rsidR="00CE5EB6" w:rsidRPr="00CE5EB6" w:rsidRDefault="00CE5EB6" w:rsidP="00CE5EB6">
      <w:pPr>
        <w:widowControl/>
        <w:numPr>
          <w:ilvl w:val="0"/>
          <w:numId w:val="9"/>
        </w:numPr>
        <w:autoSpaceDE/>
        <w:autoSpaceDN/>
        <w:jc w:val="both"/>
        <w:rPr>
          <w:rStyle w:val="Strong"/>
          <w:b w:val="0"/>
          <w:bCs w:val="0"/>
          <w:sz w:val="24"/>
          <w:szCs w:val="24"/>
        </w:rPr>
      </w:pPr>
      <w:r w:rsidRPr="00CE5EB6">
        <w:rPr>
          <w:rStyle w:val="Strong"/>
          <w:b w:val="0"/>
          <w:sz w:val="24"/>
          <w:szCs w:val="24"/>
        </w:rPr>
        <w:t>Sustainability Club</w:t>
      </w:r>
    </w:p>
    <w:p w:rsidR="00CE5EB6" w:rsidRPr="00CE5EB6" w:rsidRDefault="00CE5EB6" w:rsidP="00CE5EB6">
      <w:pPr>
        <w:widowControl/>
        <w:numPr>
          <w:ilvl w:val="0"/>
          <w:numId w:val="9"/>
        </w:numPr>
        <w:autoSpaceDE/>
        <w:autoSpaceDN/>
        <w:jc w:val="both"/>
        <w:rPr>
          <w:sz w:val="24"/>
          <w:szCs w:val="24"/>
        </w:rPr>
      </w:pPr>
      <w:r w:rsidRPr="00CE5EB6">
        <w:rPr>
          <w:sz w:val="24"/>
          <w:szCs w:val="24"/>
        </w:rPr>
        <w:t>Focuses on environmental sustainability, aligning with UN Sustainable Development Goals (SDGs).</w:t>
      </w:r>
    </w:p>
    <w:p w:rsidR="00CE5EB6" w:rsidRPr="00CE5EB6" w:rsidRDefault="00CE5EB6" w:rsidP="00CE5EB6">
      <w:pPr>
        <w:widowControl/>
        <w:numPr>
          <w:ilvl w:val="0"/>
          <w:numId w:val="9"/>
        </w:numPr>
        <w:autoSpaceDE/>
        <w:autoSpaceDN/>
        <w:jc w:val="both"/>
        <w:rPr>
          <w:rStyle w:val="Strong"/>
          <w:b w:val="0"/>
          <w:bCs w:val="0"/>
          <w:sz w:val="24"/>
          <w:szCs w:val="24"/>
        </w:rPr>
      </w:pPr>
      <w:r w:rsidRPr="00CE5EB6">
        <w:rPr>
          <w:rStyle w:val="Strong"/>
          <w:b w:val="0"/>
          <w:sz w:val="24"/>
          <w:szCs w:val="24"/>
        </w:rPr>
        <w:t>Leadership and Communication Club</w:t>
      </w:r>
    </w:p>
    <w:p w:rsidR="00CE5EB6" w:rsidRDefault="00CE5EB6" w:rsidP="00CE5EB6">
      <w:pPr>
        <w:widowControl/>
        <w:numPr>
          <w:ilvl w:val="0"/>
          <w:numId w:val="9"/>
        </w:numPr>
        <w:autoSpaceDE/>
        <w:autoSpaceDN/>
        <w:jc w:val="both"/>
        <w:rPr>
          <w:sz w:val="24"/>
          <w:szCs w:val="24"/>
        </w:rPr>
      </w:pPr>
      <w:r w:rsidRPr="00CA61F3">
        <w:rPr>
          <w:sz w:val="24"/>
          <w:szCs w:val="24"/>
        </w:rPr>
        <w:t>Provides opportunities for leadership development, public speaking, and effective communication.</w:t>
      </w:r>
    </w:p>
    <w:p w:rsidR="00CE5EB6" w:rsidRPr="00CA61F3" w:rsidRDefault="00CE5EB6" w:rsidP="00CE5EB6">
      <w:pPr>
        <w:widowControl/>
        <w:autoSpaceDE/>
        <w:autoSpaceDN/>
        <w:ind w:left="720"/>
        <w:jc w:val="both"/>
        <w:rPr>
          <w:sz w:val="24"/>
          <w:szCs w:val="24"/>
        </w:rPr>
      </w:pPr>
    </w:p>
    <w:p w:rsidR="00CE5EB6" w:rsidRPr="005920D2" w:rsidRDefault="00CE5EB6" w:rsidP="005920D2">
      <w:pPr>
        <w:pStyle w:val="Heading1"/>
        <w:rPr>
          <w:rStyle w:val="Strong"/>
          <w:b/>
          <w:color w:val="002060"/>
          <w:szCs w:val="24"/>
        </w:rPr>
      </w:pPr>
      <w:bookmarkStart w:id="10" w:name="_Toc195023439"/>
      <w:r w:rsidRPr="005920D2">
        <w:rPr>
          <w:rStyle w:val="Strong"/>
          <w:b/>
          <w:color w:val="002060"/>
          <w:szCs w:val="24"/>
        </w:rPr>
        <w:t>Alignment with AzTU’s Strategic Goals</w:t>
      </w:r>
      <w:bookmarkEnd w:id="10"/>
    </w:p>
    <w:p w:rsidR="00CE5EB6" w:rsidRPr="00CE5EB6" w:rsidRDefault="00CE5EB6" w:rsidP="00CE5EB6">
      <w:pPr>
        <w:jc w:val="both"/>
        <w:rPr>
          <w:color w:val="002060"/>
          <w:sz w:val="24"/>
        </w:rPr>
      </w:pPr>
    </w:p>
    <w:p w:rsidR="00CE5EB6" w:rsidRPr="00CA61F3" w:rsidRDefault="00CE5EB6" w:rsidP="00CE5EB6">
      <w:pPr>
        <w:jc w:val="both"/>
        <w:rPr>
          <w:sz w:val="24"/>
          <w:szCs w:val="24"/>
        </w:rPr>
      </w:pPr>
      <w:r w:rsidRPr="00CA61F3">
        <w:rPr>
          <w:sz w:val="24"/>
          <w:szCs w:val="24"/>
        </w:rPr>
        <w:t>SILC will contribute to AzTU’s overarching goals by:</w:t>
      </w:r>
    </w:p>
    <w:p w:rsidR="00CE5EB6" w:rsidRPr="00CA61F3" w:rsidRDefault="00CE5EB6" w:rsidP="00CE5EB6">
      <w:pPr>
        <w:widowControl/>
        <w:numPr>
          <w:ilvl w:val="0"/>
          <w:numId w:val="10"/>
        </w:numPr>
        <w:autoSpaceDE/>
        <w:autoSpaceDN/>
        <w:jc w:val="both"/>
        <w:rPr>
          <w:sz w:val="24"/>
          <w:szCs w:val="24"/>
        </w:rPr>
      </w:pPr>
      <w:r w:rsidRPr="00CE5EB6">
        <w:rPr>
          <w:rStyle w:val="Strong"/>
          <w:b w:val="0"/>
          <w:sz w:val="24"/>
          <w:szCs w:val="24"/>
        </w:rPr>
        <w:t>Enhancing Academic Excellence:</w:t>
      </w:r>
      <w:r w:rsidRPr="00CA61F3">
        <w:rPr>
          <w:sz w:val="24"/>
          <w:szCs w:val="24"/>
        </w:rPr>
        <w:t xml:space="preserve"> Providing students with practical learning experiences and leadership opportunities.</w:t>
      </w:r>
    </w:p>
    <w:p w:rsidR="00CE5EB6" w:rsidRPr="00CA61F3" w:rsidRDefault="00CE5EB6" w:rsidP="00CE5EB6">
      <w:pPr>
        <w:widowControl/>
        <w:numPr>
          <w:ilvl w:val="0"/>
          <w:numId w:val="10"/>
        </w:numPr>
        <w:autoSpaceDE/>
        <w:autoSpaceDN/>
        <w:jc w:val="both"/>
        <w:rPr>
          <w:sz w:val="24"/>
          <w:szCs w:val="24"/>
        </w:rPr>
      </w:pPr>
      <w:r w:rsidRPr="00CE5EB6">
        <w:rPr>
          <w:rStyle w:val="Strong"/>
          <w:b w:val="0"/>
          <w:sz w:val="24"/>
          <w:szCs w:val="24"/>
        </w:rPr>
        <w:t>Fostering Research and Innovation:</w:t>
      </w:r>
      <w:r w:rsidRPr="00CE5EB6">
        <w:rPr>
          <w:b/>
          <w:sz w:val="24"/>
          <w:szCs w:val="24"/>
        </w:rPr>
        <w:t xml:space="preserve"> </w:t>
      </w:r>
      <w:r w:rsidRPr="00CA61F3">
        <w:rPr>
          <w:sz w:val="24"/>
          <w:szCs w:val="24"/>
        </w:rPr>
        <w:t>Encouraging student-driven research and interdisciplinary collaboration.</w:t>
      </w:r>
    </w:p>
    <w:p w:rsidR="00CE5EB6" w:rsidRPr="00CA61F3" w:rsidRDefault="00CE5EB6" w:rsidP="00CE5EB6">
      <w:pPr>
        <w:widowControl/>
        <w:numPr>
          <w:ilvl w:val="0"/>
          <w:numId w:val="10"/>
        </w:numPr>
        <w:autoSpaceDE/>
        <w:autoSpaceDN/>
        <w:jc w:val="both"/>
        <w:rPr>
          <w:sz w:val="24"/>
          <w:szCs w:val="24"/>
        </w:rPr>
      </w:pPr>
      <w:r w:rsidRPr="00CE5EB6">
        <w:rPr>
          <w:rStyle w:val="Strong"/>
          <w:b w:val="0"/>
          <w:sz w:val="24"/>
          <w:szCs w:val="24"/>
        </w:rPr>
        <w:t>Promoting Global Engagement:</w:t>
      </w:r>
      <w:r w:rsidRPr="00CA61F3">
        <w:rPr>
          <w:sz w:val="24"/>
          <w:szCs w:val="24"/>
        </w:rPr>
        <w:t xml:space="preserve"> Offering students opportunities to participate in international conferences and competitions.</w:t>
      </w:r>
    </w:p>
    <w:p w:rsidR="00CE5EB6" w:rsidRDefault="00CE5EB6" w:rsidP="00CE5EB6">
      <w:pPr>
        <w:widowControl/>
        <w:numPr>
          <w:ilvl w:val="0"/>
          <w:numId w:val="10"/>
        </w:numPr>
        <w:autoSpaceDE/>
        <w:autoSpaceDN/>
        <w:jc w:val="both"/>
        <w:rPr>
          <w:sz w:val="24"/>
          <w:szCs w:val="24"/>
        </w:rPr>
      </w:pPr>
      <w:r w:rsidRPr="00CE5EB6">
        <w:rPr>
          <w:rStyle w:val="Strong"/>
          <w:b w:val="0"/>
          <w:sz w:val="24"/>
          <w:szCs w:val="24"/>
        </w:rPr>
        <w:t>Supporting Sustainable Development:</w:t>
      </w:r>
      <w:r w:rsidRPr="00CA61F3">
        <w:rPr>
          <w:sz w:val="24"/>
          <w:szCs w:val="24"/>
        </w:rPr>
        <w:t xml:space="preserve"> Launching projects that contribute to environmental sustainability and social impact.</w:t>
      </w:r>
    </w:p>
    <w:p w:rsidR="005920D2" w:rsidRDefault="005920D2" w:rsidP="005920D2">
      <w:pPr>
        <w:widowControl/>
        <w:autoSpaceDE/>
        <w:autoSpaceDN/>
        <w:ind w:left="720"/>
        <w:jc w:val="both"/>
        <w:rPr>
          <w:sz w:val="24"/>
          <w:szCs w:val="24"/>
        </w:rPr>
      </w:pPr>
    </w:p>
    <w:p w:rsidR="005920D2" w:rsidRPr="00AC13FC" w:rsidRDefault="005920D2" w:rsidP="005920D2">
      <w:pPr>
        <w:pStyle w:val="Heading1"/>
        <w:rPr>
          <w:sz w:val="24"/>
        </w:rPr>
      </w:pPr>
      <w:bookmarkStart w:id="11" w:name="_Toc195023440"/>
      <w:r>
        <w:rPr>
          <w:rStyle w:val="Strong"/>
          <w:b/>
          <w:color w:val="002060"/>
          <w:szCs w:val="24"/>
        </w:rPr>
        <w:t>Review</w:t>
      </w:r>
      <w:bookmarkEnd w:id="11"/>
    </w:p>
    <w:p w:rsidR="009858E8" w:rsidRDefault="005920D2">
      <w:pPr>
        <w:pStyle w:val="BodyText"/>
        <w:spacing w:before="35" w:line="278" w:lineRule="auto"/>
        <w:ind w:left="24" w:right="256"/>
      </w:pPr>
      <w:r>
        <w:t>Review This policy will be reviewed every 2 years. The previous version of the policy will remain in full force and effects until the adoption of new version</w:t>
      </w:r>
    </w:p>
    <w:sectPr w:rsidR="009858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A7" w:rsidRDefault="007D70A7">
      <w:r>
        <w:separator/>
      </w:r>
    </w:p>
  </w:endnote>
  <w:endnote w:type="continuationSeparator" w:id="0">
    <w:p w:rsidR="007D70A7" w:rsidRDefault="007D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106165"/>
      <w:docPartObj>
        <w:docPartGallery w:val="Page Numbers (Bottom of Page)"/>
        <w:docPartUnique/>
      </w:docPartObj>
    </w:sdtPr>
    <w:sdtEndPr>
      <w:rPr>
        <w:noProof/>
      </w:rPr>
    </w:sdtEndPr>
    <w:sdtContent>
      <w:p w:rsidR="008C40E3" w:rsidRDefault="008C40E3">
        <w:pPr>
          <w:pStyle w:val="Footer"/>
          <w:jc w:val="right"/>
        </w:pPr>
        <w:r>
          <w:fldChar w:fldCharType="begin"/>
        </w:r>
        <w:r>
          <w:instrText xml:space="preserve"> PAGE   \* MERGEFORMAT </w:instrText>
        </w:r>
        <w:r>
          <w:fldChar w:fldCharType="separate"/>
        </w:r>
        <w:r w:rsidR="005920D2">
          <w:rPr>
            <w:noProof/>
          </w:rPr>
          <w:t>1</w:t>
        </w:r>
        <w:r>
          <w:rPr>
            <w:noProof/>
          </w:rPr>
          <w:fldChar w:fldCharType="end"/>
        </w:r>
      </w:p>
    </w:sdtContent>
  </w:sdt>
  <w:p w:rsidR="009858E8" w:rsidRDefault="009858E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A7" w:rsidRDefault="007D70A7">
      <w:r>
        <w:separator/>
      </w:r>
    </w:p>
  </w:footnote>
  <w:footnote w:type="continuationSeparator" w:id="0">
    <w:p w:rsidR="007D70A7" w:rsidRDefault="007D70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F7F"/>
    <w:multiLevelType w:val="multilevel"/>
    <w:tmpl w:val="14460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B7DC2"/>
    <w:multiLevelType w:val="multilevel"/>
    <w:tmpl w:val="B0C6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E197B"/>
    <w:multiLevelType w:val="multilevel"/>
    <w:tmpl w:val="990E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423C9C"/>
    <w:multiLevelType w:val="multilevel"/>
    <w:tmpl w:val="F5FC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D4378"/>
    <w:multiLevelType w:val="multilevel"/>
    <w:tmpl w:val="493A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C6BE4"/>
    <w:multiLevelType w:val="multilevel"/>
    <w:tmpl w:val="C192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06B28"/>
    <w:multiLevelType w:val="multilevel"/>
    <w:tmpl w:val="3466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AD5E69"/>
    <w:multiLevelType w:val="multilevel"/>
    <w:tmpl w:val="5DDA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DA08B0"/>
    <w:multiLevelType w:val="multilevel"/>
    <w:tmpl w:val="D842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D87080"/>
    <w:multiLevelType w:val="multilevel"/>
    <w:tmpl w:val="46CC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7"/>
  </w:num>
  <w:num w:numId="4">
    <w:abstractNumId w:val="5"/>
  </w:num>
  <w:num w:numId="5">
    <w:abstractNumId w:val="4"/>
  </w:num>
  <w:num w:numId="6">
    <w:abstractNumId w:val="6"/>
  </w:num>
  <w:num w:numId="7">
    <w:abstractNumId w:val="2"/>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E8"/>
    <w:rsid w:val="002D1B1A"/>
    <w:rsid w:val="00493224"/>
    <w:rsid w:val="005476BE"/>
    <w:rsid w:val="005920D2"/>
    <w:rsid w:val="0064740F"/>
    <w:rsid w:val="006876E3"/>
    <w:rsid w:val="00773283"/>
    <w:rsid w:val="007D70A7"/>
    <w:rsid w:val="00870750"/>
    <w:rsid w:val="008C40E3"/>
    <w:rsid w:val="009858E8"/>
    <w:rsid w:val="00C2387C"/>
    <w:rsid w:val="00C81A4D"/>
    <w:rsid w:val="00CE5EB6"/>
    <w:rsid w:val="00DD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8226A"/>
  <w15:docId w15:val="{4AF628A5-B4BC-4468-B9F2-BCECDF37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
      <w:jc w:val="both"/>
      <w:outlineLvl w:val="0"/>
    </w:pPr>
    <w:rPr>
      <w:b/>
      <w:bCs/>
      <w:sz w:val="28"/>
      <w:szCs w:val="28"/>
    </w:rPr>
  </w:style>
  <w:style w:type="paragraph" w:styleId="Heading2">
    <w:name w:val="heading 2"/>
    <w:basedOn w:val="Normal"/>
    <w:uiPriority w:val="1"/>
    <w:qFormat/>
    <w:pPr>
      <w:spacing w:before="11"/>
      <w:ind w:left="24"/>
      <w:outlineLvl w:val="1"/>
    </w:pPr>
    <w:rPr>
      <w:b/>
      <w:bCs/>
      <w:sz w:val="24"/>
      <w:szCs w:val="24"/>
    </w:rPr>
  </w:style>
  <w:style w:type="paragraph" w:styleId="Heading3">
    <w:name w:val="heading 3"/>
    <w:basedOn w:val="Normal"/>
    <w:next w:val="Normal"/>
    <w:link w:val="Heading3Char"/>
    <w:uiPriority w:val="9"/>
    <w:unhideWhenUsed/>
    <w:qFormat/>
    <w:rsid w:val="004932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932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24"/>
    </w:pPr>
    <w:rPr>
      <w:sz w:val="24"/>
      <w:szCs w:val="24"/>
    </w:rPr>
  </w:style>
  <w:style w:type="paragraph" w:styleId="TOC2">
    <w:name w:val="toc 2"/>
    <w:basedOn w:val="Normal"/>
    <w:uiPriority w:val="39"/>
    <w:qFormat/>
    <w:pPr>
      <w:spacing w:before="144"/>
      <w:ind w:left="244"/>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ind w:left="714" w:right="6"/>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8" w:lineRule="exact"/>
      <w:ind w:left="114"/>
    </w:pPr>
  </w:style>
  <w:style w:type="character" w:styleId="Strong">
    <w:name w:val="Strong"/>
    <w:basedOn w:val="DefaultParagraphFont"/>
    <w:uiPriority w:val="22"/>
    <w:qFormat/>
    <w:rsid w:val="00CE5EB6"/>
    <w:rPr>
      <w:b/>
      <w:bCs/>
    </w:rPr>
  </w:style>
  <w:style w:type="paragraph" w:styleId="TOCHeading">
    <w:name w:val="TOC Heading"/>
    <w:basedOn w:val="Heading1"/>
    <w:next w:val="Normal"/>
    <w:uiPriority w:val="39"/>
    <w:unhideWhenUsed/>
    <w:qFormat/>
    <w:rsid w:val="00CE5EB6"/>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NoSpacing">
    <w:name w:val="No Spacing"/>
    <w:uiPriority w:val="1"/>
    <w:qFormat/>
    <w:rsid w:val="00773283"/>
    <w:rPr>
      <w:rFonts w:ascii="Times New Roman" w:eastAsia="Times New Roman" w:hAnsi="Times New Roman" w:cs="Times New Roman"/>
    </w:rPr>
  </w:style>
  <w:style w:type="character" w:styleId="Hyperlink">
    <w:name w:val="Hyperlink"/>
    <w:basedOn w:val="DefaultParagraphFont"/>
    <w:uiPriority w:val="99"/>
    <w:unhideWhenUsed/>
    <w:rsid w:val="00773283"/>
    <w:rPr>
      <w:color w:val="0000FF" w:themeColor="hyperlink"/>
      <w:u w:val="single"/>
    </w:rPr>
  </w:style>
  <w:style w:type="character" w:styleId="FollowedHyperlink">
    <w:name w:val="FollowedHyperlink"/>
    <w:basedOn w:val="DefaultParagraphFont"/>
    <w:uiPriority w:val="99"/>
    <w:semiHidden/>
    <w:unhideWhenUsed/>
    <w:rsid w:val="008C40E3"/>
    <w:rPr>
      <w:color w:val="800080" w:themeColor="followedHyperlink"/>
      <w:u w:val="single"/>
    </w:rPr>
  </w:style>
  <w:style w:type="paragraph" w:styleId="Header">
    <w:name w:val="header"/>
    <w:basedOn w:val="Normal"/>
    <w:link w:val="HeaderChar"/>
    <w:uiPriority w:val="99"/>
    <w:unhideWhenUsed/>
    <w:rsid w:val="008C40E3"/>
    <w:pPr>
      <w:tabs>
        <w:tab w:val="center" w:pos="4680"/>
        <w:tab w:val="right" w:pos="9360"/>
      </w:tabs>
    </w:pPr>
  </w:style>
  <w:style w:type="character" w:customStyle="1" w:styleId="HeaderChar">
    <w:name w:val="Header Char"/>
    <w:basedOn w:val="DefaultParagraphFont"/>
    <w:link w:val="Header"/>
    <w:uiPriority w:val="99"/>
    <w:rsid w:val="008C40E3"/>
    <w:rPr>
      <w:rFonts w:ascii="Times New Roman" w:eastAsia="Times New Roman" w:hAnsi="Times New Roman" w:cs="Times New Roman"/>
    </w:rPr>
  </w:style>
  <w:style w:type="paragraph" w:styleId="Footer">
    <w:name w:val="footer"/>
    <w:basedOn w:val="Normal"/>
    <w:link w:val="FooterChar"/>
    <w:uiPriority w:val="99"/>
    <w:unhideWhenUsed/>
    <w:rsid w:val="008C40E3"/>
    <w:pPr>
      <w:tabs>
        <w:tab w:val="center" w:pos="4680"/>
        <w:tab w:val="right" w:pos="9360"/>
      </w:tabs>
    </w:pPr>
  </w:style>
  <w:style w:type="character" w:customStyle="1" w:styleId="FooterChar">
    <w:name w:val="Footer Char"/>
    <w:basedOn w:val="DefaultParagraphFont"/>
    <w:link w:val="Footer"/>
    <w:uiPriority w:val="99"/>
    <w:rsid w:val="008C40E3"/>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93224"/>
    <w:rPr>
      <w:rFonts w:asciiTheme="majorHAnsi" w:eastAsiaTheme="majorEastAsia" w:hAnsiTheme="majorHAnsi" w:cstheme="majorBidi"/>
      <w:color w:val="243F60" w:themeColor="accent1" w:themeShade="7F"/>
      <w:sz w:val="24"/>
      <w:szCs w:val="24"/>
    </w:rPr>
  </w:style>
  <w:style w:type="character" w:styleId="IntenseReference">
    <w:name w:val="Intense Reference"/>
    <w:basedOn w:val="DefaultParagraphFont"/>
    <w:uiPriority w:val="32"/>
    <w:qFormat/>
    <w:rsid w:val="00493224"/>
    <w:rPr>
      <w:b/>
      <w:bCs/>
      <w:smallCaps/>
      <w:color w:val="4F81BD" w:themeColor="accent1"/>
      <w:spacing w:val="5"/>
    </w:rPr>
  </w:style>
  <w:style w:type="paragraph" w:styleId="Quote">
    <w:name w:val="Quote"/>
    <w:basedOn w:val="Normal"/>
    <w:next w:val="Normal"/>
    <w:link w:val="QuoteChar"/>
    <w:uiPriority w:val="29"/>
    <w:qFormat/>
    <w:rsid w:val="004932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93224"/>
    <w:rPr>
      <w:rFonts w:ascii="Times New Roman" w:eastAsia="Times New Roman" w:hAnsi="Times New Roman" w:cs="Times New Roman"/>
      <w:i/>
      <w:iCs/>
      <w:color w:val="404040" w:themeColor="text1" w:themeTint="BF"/>
    </w:rPr>
  </w:style>
  <w:style w:type="character" w:customStyle="1" w:styleId="Heading4Char">
    <w:name w:val="Heading 4 Char"/>
    <w:basedOn w:val="DefaultParagraphFont"/>
    <w:link w:val="Heading4"/>
    <w:uiPriority w:val="9"/>
    <w:rsid w:val="00493224"/>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5920D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647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B8A5-8BBE-400D-B467-ABEE4074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2025-04-08T12:51:00Z</dcterms:created>
  <dcterms:modified xsi:type="dcterms:W3CDTF">2025-04-08T12:51:00Z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Microsoft® Word 2016</vt:lpwstr>
  </property>
  <property fmtid="{D5CDD505-2E9C-101B-9397-08002B2CF9AE}" pid="6" name="GrammarlyDocumentId">
    <vt:lpwstr>82581b1f384ec4e860f9e22ef2f24adeb65666e42870a915f88e87e56074db4e</vt:lpwstr>
  </property>
</Properties>
</file>